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0BBFD" w14:textId="77777777" w:rsidR="00C332FC" w:rsidRDefault="00687FC7">
      <w:r>
        <w:t>Lutz Stäudel</w:t>
      </w:r>
    </w:p>
    <w:p w14:paraId="7108B6A5" w14:textId="77777777" w:rsidR="00687FC7" w:rsidRPr="00D00720" w:rsidRDefault="00687FC7">
      <w:pPr>
        <w:rPr>
          <w:b/>
          <w:bCs/>
          <w:sz w:val="28"/>
          <w:szCs w:val="28"/>
        </w:rPr>
      </w:pPr>
      <w:r w:rsidRPr="00D00720">
        <w:rPr>
          <w:b/>
          <w:bCs/>
          <w:sz w:val="28"/>
          <w:szCs w:val="28"/>
        </w:rPr>
        <w:t>QR-Codes öffnen Lernwelten</w:t>
      </w:r>
    </w:p>
    <w:p w14:paraId="7653BAB2" w14:textId="0D4EE606" w:rsidR="0031188B" w:rsidRDefault="001B2597">
      <w:r>
        <w:rPr>
          <w:noProof/>
        </w:rPr>
        <w:drawing>
          <wp:anchor distT="0" distB="0" distL="114300" distR="114300" simplePos="0" relativeHeight="251658240" behindDoc="0" locked="0" layoutInCell="1" allowOverlap="1" wp14:anchorId="0DBC7208" wp14:editId="076052A1">
            <wp:simplePos x="0" y="0"/>
            <wp:positionH relativeFrom="column">
              <wp:posOffset>3821430</wp:posOffset>
            </wp:positionH>
            <wp:positionV relativeFrom="paragraph">
              <wp:posOffset>500380</wp:posOffset>
            </wp:positionV>
            <wp:extent cx="1771650" cy="17716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14:sizeRelH relativeFrom="page">
              <wp14:pctWidth>0</wp14:pctWidth>
            </wp14:sizeRelH>
            <wp14:sizeRelV relativeFrom="page">
              <wp14:pctHeight>0</wp14:pctHeight>
            </wp14:sizeRelV>
          </wp:anchor>
        </w:drawing>
      </w:r>
      <w:r w:rsidR="002100A5" w:rsidRPr="002100A5">
        <w:t>Der QR-Code</w:t>
      </w:r>
      <w:r w:rsidR="0031188B">
        <w:t>, eine Abkürzung für „</w:t>
      </w:r>
      <w:r w:rsidR="002100A5" w:rsidRPr="002100A5">
        <w:t>Quick Response</w:t>
      </w:r>
      <w:r w:rsidR="0031188B">
        <w:t xml:space="preserve">“ </w:t>
      </w:r>
      <w:r w:rsidR="002100A5" w:rsidRPr="002100A5">
        <w:t xml:space="preserve">ist ein zweidimensionaler </w:t>
      </w:r>
      <w:r w:rsidR="0031188B">
        <w:t xml:space="preserve">grafischer </w:t>
      </w:r>
      <w:r w:rsidR="002100A5" w:rsidRPr="002100A5">
        <w:t>Code</w:t>
      </w:r>
      <w:r w:rsidR="0031188B">
        <w:t xml:space="preserve"> – ähnlich dem seit Langem bekannten Strichcode, der auf fast allen Verpackungen von Lebensmitteln zu finden ist. Meistens werden QR-Codes dazu genutzt, Webadressen zu codieren. Mit einem geeigneten QR-Code-Scanner auf dem eigenen Endgerät gelangt man dann – ohne Vertippen – schnell zu der verlinkten Webseite. </w:t>
      </w:r>
    </w:p>
    <w:p w14:paraId="56C4C3B6" w14:textId="0D2BE7AF" w:rsidR="009C67F2" w:rsidRPr="00A7582E" w:rsidRDefault="00A7582E">
      <w:r w:rsidRPr="00A7582E">
        <w:t>Im Beispiel (Abb. 1) ist die Adresse der Wikipedia-Seite kodiert, auf der man viele weitere Informationen zu den QR-Codes findet.</w:t>
      </w:r>
    </w:p>
    <w:p w14:paraId="356D83F8" w14:textId="6A5AB5AB" w:rsidR="009C67F2" w:rsidRPr="00403A8C" w:rsidRDefault="009C67F2">
      <w:pPr>
        <w:rPr>
          <w:b/>
          <w:bCs/>
          <w:strike/>
        </w:rPr>
      </w:pPr>
    </w:p>
    <w:p w14:paraId="5F415364" w14:textId="77777777" w:rsidR="009D43CB" w:rsidRPr="00365439" w:rsidRDefault="009D43CB">
      <w:pPr>
        <w:rPr>
          <w:b/>
          <w:bCs/>
        </w:rPr>
      </w:pPr>
      <w:r w:rsidRPr="00365439">
        <w:rPr>
          <w:b/>
          <w:bCs/>
        </w:rPr>
        <w:t>QR-Codes online</w:t>
      </w:r>
    </w:p>
    <w:p w14:paraId="71839FE0" w14:textId="023404D1" w:rsidR="009C67F2" w:rsidRDefault="0048541E">
      <w:r>
        <w:t>Via QR-Codes können z.B. ausgewählte Webadressen und deren Inhalte für die Schülerinnen und Schüler zur Verfügung gestellt werden, etwa zur Vorbereitung eines Referats oder eines Lernplakats, zur Ausarbeitung einer Rolle für eine Pro-und-Contra-Diskussion oder zur Informationserarbeitung in der Expertenrunde beim Gruppenpuzzle.</w:t>
      </w:r>
      <w:r w:rsidR="009C67F2">
        <w:t xml:space="preserve"> </w:t>
      </w:r>
      <w:r w:rsidR="00790053">
        <w:t>Die Lehrkraft kann so den Lern- und Arbeitsprozess in gewissem Umfang steuern und auch rasch veraltete oder nicht mehr verfügbare Webadressen austauschen.</w:t>
      </w:r>
    </w:p>
    <w:p w14:paraId="61993F25" w14:textId="77777777" w:rsidR="00790053" w:rsidRDefault="00790053">
      <w:r>
        <w:t>Mit der Codierung von Adressen von Informationsquellen erspart man sich zudem die lästige Frage nach Urheberrechten: So können auch im Internet verfügbare Bilder und Videos via QR-Code angesteuert werden, deren „normale“ Präsentation ggf. rechtliche Probleme aufwerfen würde.</w:t>
      </w:r>
    </w:p>
    <w:p w14:paraId="6EA753C7" w14:textId="524BB64A" w:rsidR="009D43CB" w:rsidRDefault="00892522">
      <w:r w:rsidRPr="00892522">
        <w:rPr>
          <w:b/>
          <w:bCs/>
        </w:rPr>
        <w:t>QR-Codes offline</w:t>
      </w:r>
      <w:r>
        <w:t xml:space="preserve"> </w:t>
      </w:r>
    </w:p>
    <w:p w14:paraId="4F186880" w14:textId="26CE738C" w:rsidR="00C93FAB" w:rsidRDefault="00790053">
      <w:r>
        <w:t xml:space="preserve">Während die </w:t>
      </w:r>
      <w:r w:rsidR="00892522">
        <w:t xml:space="preserve">zuvor </w:t>
      </w:r>
      <w:r>
        <w:t xml:space="preserve">genannten </w:t>
      </w:r>
      <w:r w:rsidR="00892522">
        <w:t>Anwendungen die Verbindung der (scannenden) Endgeräte zum Internet voraussetzen</w:t>
      </w:r>
      <w:r w:rsidR="009D43CB">
        <w:t>,</w:t>
      </w:r>
      <w:r w:rsidR="00892522">
        <w:t xml:space="preserve"> funktioniert das bloße Dekodieren von QR-Marken natürlich auch offline. Anstelle einer Webadresse kann so auch </w:t>
      </w:r>
      <w:r w:rsidR="009D43CB">
        <w:t xml:space="preserve">eine </w:t>
      </w:r>
      <w:r w:rsidR="001B3C3F">
        <w:t>Texti</w:t>
      </w:r>
      <w:r w:rsidR="00892522">
        <w:t xml:space="preserve">nformation weitergegeben werden. Die Textmenge ist allerdings durch die Eigenschaften des QR-Standards begrenzt. </w:t>
      </w:r>
      <w:r w:rsidR="007337BD">
        <w:t>(Zu Details siehe [1], Abschnitt „Kapazität und Fehlertol</w:t>
      </w:r>
      <w:r w:rsidR="00403A8C">
        <w:t>er</w:t>
      </w:r>
      <w:r w:rsidR="007337BD">
        <w:t>anz“). Bei niedrigem Fehlerkorrekturlevel können mehr als 4000 alphanumerische Zeichen kodiert werden, die gängigen Online-QR-Code-Generatoren erlauben ca. 400 Zeichen incl. Leerzeichen.</w:t>
      </w:r>
      <w:r w:rsidR="00C93FAB">
        <w:t xml:space="preserve"> </w:t>
      </w:r>
      <w:r w:rsidR="007337BD">
        <w:t>Dieses Verfahren verwende</w:t>
      </w:r>
      <w:r w:rsidR="00FD0CAB">
        <w:t xml:space="preserve">n z.B. botanische Gärten </w:t>
      </w:r>
      <w:r w:rsidR="00C93FAB">
        <w:t>oder</w:t>
      </w:r>
      <w:r w:rsidR="00FD0CAB">
        <w:t xml:space="preserve"> Kunstausstellungen, um </w:t>
      </w:r>
      <w:r w:rsidR="00C93FAB">
        <w:t xml:space="preserve">Besuchern </w:t>
      </w:r>
      <w:r w:rsidR="00FD0CAB">
        <w:t xml:space="preserve">zusätzliche Informationen anzubieten. </w:t>
      </w:r>
    </w:p>
    <w:p w14:paraId="766DCC37" w14:textId="554D4E44" w:rsidR="00790053" w:rsidRDefault="00A7582E">
      <w:r>
        <w:rPr>
          <w:noProof/>
        </w:rPr>
        <w:drawing>
          <wp:anchor distT="0" distB="0" distL="114300" distR="114300" simplePos="0" relativeHeight="251663360" behindDoc="0" locked="0" layoutInCell="1" allowOverlap="1" wp14:anchorId="73285CF9" wp14:editId="5529DDCB">
            <wp:simplePos x="0" y="0"/>
            <wp:positionH relativeFrom="column">
              <wp:posOffset>4257675</wp:posOffset>
            </wp:positionH>
            <wp:positionV relativeFrom="paragraph">
              <wp:posOffset>421640</wp:posOffset>
            </wp:positionV>
            <wp:extent cx="1295400" cy="12954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page">
              <wp14:pctWidth>0</wp14:pctWidth>
            </wp14:sizeRelH>
            <wp14:sizeRelV relativeFrom="page">
              <wp14:pctHeight>0</wp14:pctHeight>
            </wp14:sizeRelV>
          </wp:anchor>
        </w:drawing>
      </w:r>
      <w:r w:rsidR="009D43CB">
        <w:t xml:space="preserve">Dieses Prinzip </w:t>
      </w:r>
      <w:r>
        <w:t>setzt</w:t>
      </w:r>
      <w:r>
        <w:t xml:space="preserve"> </w:t>
      </w:r>
      <w:r w:rsidR="009D43CB">
        <w:t>auch ein</w:t>
      </w:r>
      <w:r w:rsidR="00C93FAB">
        <w:t xml:space="preserve"> Lehrmittelverlag </w:t>
      </w:r>
      <w:r>
        <w:t xml:space="preserve">[2] </w:t>
      </w:r>
      <w:r w:rsidR="00C93FAB">
        <w:t xml:space="preserve">zur Unterstützung beim Versuchsaufbau ein: </w:t>
      </w:r>
      <w:r w:rsidR="002A5EC8">
        <w:t xml:space="preserve">Die Schülerinnen und Schüler erhalten Kärtchen mit Stichworten, z.B. „Stativ“, der Code auf der Rückseite liefert beim Scannen dann Informationen zum richtigen Umgang </w:t>
      </w:r>
      <w:r w:rsidR="009D43CB">
        <w:t>mit dem Gerät</w:t>
      </w:r>
      <w:r w:rsidR="002A5EC8">
        <w:t xml:space="preserve"> und zum Aufbau einer Versuchsanordnung</w:t>
      </w:r>
      <w:r w:rsidR="002A5EC8" w:rsidRPr="00A7582E">
        <w:t xml:space="preserve">. </w:t>
      </w:r>
      <w:r>
        <w:t xml:space="preserve">In ähnlicher Weise </w:t>
      </w:r>
      <w:r w:rsidR="001B3C3F">
        <w:t>k</w:t>
      </w:r>
      <w:r w:rsidR="00C93FAB">
        <w:t xml:space="preserve">önnen </w:t>
      </w:r>
      <w:r>
        <w:t xml:space="preserve">mit QR-Codes </w:t>
      </w:r>
      <w:r w:rsidR="00C93FAB">
        <w:t>auch Lernkarteien gestaltet werden</w:t>
      </w:r>
      <w:r>
        <w:t xml:space="preserve">, z.B. als </w:t>
      </w:r>
      <w:r w:rsidR="00C93FAB">
        <w:t>Frage-und-Antwort-Karten</w:t>
      </w:r>
      <w:r>
        <w:t xml:space="preserve"> (Abb. 2)</w:t>
      </w:r>
      <w:r w:rsidR="00C93FAB">
        <w:t>.</w:t>
      </w:r>
    </w:p>
    <w:p w14:paraId="477D33DE" w14:textId="4DD090BC" w:rsidR="00A7582E" w:rsidRDefault="00A7582E"/>
    <w:p w14:paraId="1DC6CDB0" w14:textId="422EA7E9" w:rsidR="001B3C3F" w:rsidRPr="00403A8C" w:rsidRDefault="001B3C3F">
      <w:pPr>
        <w:rPr>
          <w:b/>
          <w:bCs/>
        </w:rPr>
      </w:pPr>
      <w:r w:rsidRPr="00403A8C">
        <w:rPr>
          <w:b/>
          <w:bCs/>
        </w:rPr>
        <w:t xml:space="preserve">Gestufte Hilfen mit </w:t>
      </w:r>
      <w:r w:rsidR="00C93FAB" w:rsidRPr="001B3C3F">
        <w:rPr>
          <w:b/>
          <w:bCs/>
        </w:rPr>
        <w:t>QR-Codes</w:t>
      </w:r>
      <w:r w:rsidRPr="00403A8C">
        <w:rPr>
          <w:b/>
          <w:bCs/>
        </w:rPr>
        <w:t xml:space="preserve"> gestalten</w:t>
      </w:r>
      <w:r w:rsidR="00C93FAB" w:rsidRPr="00403A8C">
        <w:rPr>
          <w:b/>
          <w:bCs/>
        </w:rPr>
        <w:t xml:space="preserve"> </w:t>
      </w:r>
    </w:p>
    <w:p w14:paraId="0768EA19" w14:textId="34E6CCFD" w:rsidR="00C93FAB" w:rsidRDefault="00A7582E">
      <w:r>
        <w:t xml:space="preserve">Die Unterstützung anspruchsvoller Aufgaben durch gestufte Hilfen [3] ist inzwischen ein gut eingeführtes Format im Unterricht. Bei der klassischen Variante werden Hilfen auf Papier </w:t>
      </w:r>
      <w:r>
        <w:lastRenderedPageBreak/>
        <w:t xml:space="preserve">ausgedruckt [4] zur Verfügung gestellt, </w:t>
      </w:r>
      <w:r w:rsidR="00C93FAB">
        <w:t xml:space="preserve">eine erste </w:t>
      </w:r>
      <w:r w:rsidR="002C12DB">
        <w:t>Version</w:t>
      </w:r>
      <w:r w:rsidR="00330EB0">
        <w:t xml:space="preserve"> mit Hilfen zum Download wurde bereits </w:t>
      </w:r>
      <w:r w:rsidR="001B3C3F">
        <w:t>in [</w:t>
      </w:r>
      <w:r w:rsidR="003D065B">
        <w:t>5</w:t>
      </w:r>
      <w:r w:rsidR="001B3C3F">
        <w:t xml:space="preserve">] </w:t>
      </w:r>
      <w:r w:rsidR="00330EB0">
        <w:t>vorgestellt</w:t>
      </w:r>
      <w:r w:rsidR="001B3C3F">
        <w:t>.</w:t>
      </w:r>
      <w:r w:rsidR="00330EB0">
        <w:t xml:space="preserve"> </w:t>
      </w:r>
      <w:r w:rsidR="00AD5C14">
        <w:t>Darauf aufbauend ließ d</w:t>
      </w:r>
      <w:r w:rsidR="002C12DB">
        <w:t xml:space="preserve">ie Siemens Stiftung </w:t>
      </w:r>
      <w:r>
        <w:t xml:space="preserve">2017 </w:t>
      </w:r>
      <w:r w:rsidR="002C12DB">
        <w:t xml:space="preserve">eine kompakte </w:t>
      </w:r>
      <w:r w:rsidR="00AD5C14">
        <w:t>html-</w:t>
      </w:r>
      <w:r w:rsidR="00B9456E">
        <w:t>Maske entwickeln, bei der schrittweise alle Hilfen aus einer einzigen Datei dargeboten werden [</w:t>
      </w:r>
      <w:r w:rsidR="003D065B">
        <w:t>6</w:t>
      </w:r>
      <w:r w:rsidR="00B9456E">
        <w:t>] – einmal heruntergeladen können die Lernenden damit auch offline arbeiten. Welche Aufgaben bereits zur Verfügung stehen und – noch wichtiger – wie man Aufgaben und Hilfen in diesem Format für die eigene Lerngruppe gestaltet, didaktisch und technisch, darum geht es auf den folgenden Seiten.</w:t>
      </w:r>
    </w:p>
    <w:p w14:paraId="3BC213CA" w14:textId="77777777" w:rsidR="0059334A" w:rsidRDefault="0059334A">
      <w:pPr>
        <w:rPr>
          <w:b/>
          <w:bCs/>
        </w:rPr>
      </w:pPr>
      <w:r w:rsidRPr="0059334A">
        <w:rPr>
          <w:b/>
          <w:bCs/>
        </w:rPr>
        <w:t xml:space="preserve">Aufgaben mit gestuften Hilfen zum Download </w:t>
      </w:r>
      <w:r>
        <w:rPr>
          <w:b/>
          <w:bCs/>
        </w:rPr>
        <w:t>–</w:t>
      </w:r>
      <w:r w:rsidRPr="0059334A">
        <w:rPr>
          <w:b/>
          <w:bCs/>
        </w:rPr>
        <w:t xml:space="preserve"> Ausstattungsvoraussetzungen</w:t>
      </w:r>
    </w:p>
    <w:tbl>
      <w:tblPr>
        <w:tblStyle w:val="Tabellenraster"/>
        <w:tblW w:w="0" w:type="auto"/>
        <w:tblLook w:val="04A0" w:firstRow="1" w:lastRow="0" w:firstColumn="1" w:lastColumn="0" w:noHBand="0" w:noVBand="1"/>
      </w:tblPr>
      <w:tblGrid>
        <w:gridCol w:w="1696"/>
        <w:gridCol w:w="3686"/>
        <w:gridCol w:w="3680"/>
      </w:tblGrid>
      <w:tr w:rsidR="0059334A" w14:paraId="087CC6E8" w14:textId="77777777" w:rsidTr="000B05EC">
        <w:tc>
          <w:tcPr>
            <w:tcW w:w="1696" w:type="dxa"/>
          </w:tcPr>
          <w:p w14:paraId="1F7DEFD2" w14:textId="77777777" w:rsidR="0059334A" w:rsidRDefault="0059334A">
            <w:pPr>
              <w:rPr>
                <w:b/>
                <w:bCs/>
              </w:rPr>
            </w:pPr>
          </w:p>
        </w:tc>
        <w:tc>
          <w:tcPr>
            <w:tcW w:w="3686" w:type="dxa"/>
          </w:tcPr>
          <w:p w14:paraId="3D66110C" w14:textId="77777777" w:rsidR="0059334A" w:rsidRDefault="0059334A">
            <w:pPr>
              <w:rPr>
                <w:b/>
                <w:bCs/>
              </w:rPr>
            </w:pPr>
            <w:r>
              <w:rPr>
                <w:b/>
                <w:bCs/>
              </w:rPr>
              <w:t>Nutzung „fertiger“ Aufgaben</w:t>
            </w:r>
            <w:r>
              <w:rPr>
                <w:b/>
                <w:bCs/>
              </w:rPr>
              <w:br/>
              <w:t>mit Hilfen zum Download</w:t>
            </w:r>
          </w:p>
        </w:tc>
        <w:tc>
          <w:tcPr>
            <w:tcW w:w="3680" w:type="dxa"/>
          </w:tcPr>
          <w:p w14:paraId="0FA8D753" w14:textId="77777777" w:rsidR="0059334A" w:rsidRDefault="0059334A">
            <w:pPr>
              <w:rPr>
                <w:b/>
                <w:bCs/>
              </w:rPr>
            </w:pPr>
            <w:r>
              <w:rPr>
                <w:b/>
                <w:bCs/>
              </w:rPr>
              <w:t xml:space="preserve">Gestaltung eigener Aufgaben </w:t>
            </w:r>
          </w:p>
          <w:p w14:paraId="5B593616" w14:textId="77777777" w:rsidR="00766782" w:rsidRPr="00766782" w:rsidRDefault="00766782">
            <w:r w:rsidRPr="00766782">
              <w:t>(zusätzlicher Bedarf)</w:t>
            </w:r>
          </w:p>
        </w:tc>
      </w:tr>
      <w:tr w:rsidR="0059334A" w14:paraId="0F1AFE62" w14:textId="77777777" w:rsidTr="000B05EC">
        <w:tc>
          <w:tcPr>
            <w:tcW w:w="1696" w:type="dxa"/>
          </w:tcPr>
          <w:p w14:paraId="35E76EC0" w14:textId="77777777" w:rsidR="0059334A" w:rsidRDefault="0059334A">
            <w:pPr>
              <w:rPr>
                <w:b/>
                <w:bCs/>
              </w:rPr>
            </w:pPr>
            <w:r>
              <w:rPr>
                <w:b/>
                <w:bCs/>
              </w:rPr>
              <w:t>Internet</w:t>
            </w:r>
          </w:p>
        </w:tc>
        <w:tc>
          <w:tcPr>
            <w:tcW w:w="3686" w:type="dxa"/>
          </w:tcPr>
          <w:p w14:paraId="0A9085A2" w14:textId="539FEC94" w:rsidR="0059334A" w:rsidRDefault="00766782">
            <w:proofErr w:type="spellStart"/>
            <w:r>
              <w:t>Wlan</w:t>
            </w:r>
            <w:proofErr w:type="spellEnd"/>
            <w:r>
              <w:t xml:space="preserve"> </w:t>
            </w:r>
          </w:p>
          <w:p w14:paraId="65634F12" w14:textId="77777777" w:rsidR="0059334A" w:rsidRPr="0059334A" w:rsidRDefault="0059334A">
            <w:r>
              <w:t>(nach Download der Hilfe</w:t>
            </w:r>
            <w:r w:rsidR="00766782">
              <w:t>n-D</w:t>
            </w:r>
            <w:r>
              <w:t>atei auch offline zu Nutzen)</w:t>
            </w:r>
          </w:p>
        </w:tc>
        <w:tc>
          <w:tcPr>
            <w:tcW w:w="3680" w:type="dxa"/>
          </w:tcPr>
          <w:p w14:paraId="2DDD60B9" w14:textId="77777777" w:rsidR="0059334A" w:rsidRDefault="00766782">
            <w:r>
              <w:t>Serverplatz / Möglichkeit zum Upload der Hilfen-Datei</w:t>
            </w:r>
          </w:p>
          <w:p w14:paraId="20D4645D" w14:textId="77777777" w:rsidR="00766782" w:rsidRPr="0059334A" w:rsidRDefault="00766782">
            <w:r>
              <w:t>(kann Schulserver sein aber auch öffentlich zugänglicher Serverplatz)</w:t>
            </w:r>
          </w:p>
        </w:tc>
      </w:tr>
      <w:tr w:rsidR="0059334A" w14:paraId="20C54E99" w14:textId="77777777" w:rsidTr="000B05EC">
        <w:tc>
          <w:tcPr>
            <w:tcW w:w="1696" w:type="dxa"/>
          </w:tcPr>
          <w:p w14:paraId="199DAABA" w14:textId="77777777" w:rsidR="0059334A" w:rsidRDefault="0059334A">
            <w:pPr>
              <w:rPr>
                <w:b/>
                <w:bCs/>
              </w:rPr>
            </w:pPr>
            <w:r>
              <w:rPr>
                <w:b/>
                <w:bCs/>
              </w:rPr>
              <w:t>Geräte</w:t>
            </w:r>
          </w:p>
        </w:tc>
        <w:tc>
          <w:tcPr>
            <w:tcW w:w="3686" w:type="dxa"/>
          </w:tcPr>
          <w:p w14:paraId="50AB7317" w14:textId="77777777" w:rsidR="0059334A" w:rsidRDefault="0059334A">
            <w:r>
              <w:t>Tablet</w:t>
            </w:r>
          </w:p>
          <w:p w14:paraId="5C6B2B2C" w14:textId="77777777" w:rsidR="0059334A" w:rsidRDefault="0059334A">
            <w:r>
              <w:t>Smartphone</w:t>
            </w:r>
          </w:p>
          <w:p w14:paraId="16640D74" w14:textId="77777777" w:rsidR="0059334A" w:rsidRPr="0059334A" w:rsidRDefault="0059334A">
            <w:r>
              <w:t>Papier und Schreibwerkzeug</w:t>
            </w:r>
          </w:p>
        </w:tc>
        <w:tc>
          <w:tcPr>
            <w:tcW w:w="3680" w:type="dxa"/>
          </w:tcPr>
          <w:p w14:paraId="1764E626" w14:textId="77777777" w:rsidR="0059334A" w:rsidRDefault="00766782">
            <w:r>
              <w:t>Computer mit Internetzugang</w:t>
            </w:r>
          </w:p>
          <w:p w14:paraId="14DDEC77" w14:textId="77777777" w:rsidR="00766782" w:rsidRPr="0059334A" w:rsidRDefault="00766782">
            <w:r>
              <w:t>Mobiles Endgerät für Test</w:t>
            </w:r>
          </w:p>
        </w:tc>
      </w:tr>
      <w:tr w:rsidR="0059334A" w:rsidRPr="00CF296A" w14:paraId="434D6306" w14:textId="77777777" w:rsidTr="000B05EC">
        <w:tc>
          <w:tcPr>
            <w:tcW w:w="1696" w:type="dxa"/>
          </w:tcPr>
          <w:p w14:paraId="4C65145B" w14:textId="77777777" w:rsidR="0059334A" w:rsidRDefault="0059334A">
            <w:pPr>
              <w:rPr>
                <w:b/>
                <w:bCs/>
              </w:rPr>
            </w:pPr>
            <w:r>
              <w:rPr>
                <w:b/>
                <w:bCs/>
              </w:rPr>
              <w:t>Software</w:t>
            </w:r>
          </w:p>
        </w:tc>
        <w:tc>
          <w:tcPr>
            <w:tcW w:w="3686" w:type="dxa"/>
          </w:tcPr>
          <w:p w14:paraId="5CCAB98E" w14:textId="3943D3A4" w:rsidR="0059334A" w:rsidRDefault="00766782">
            <w:r>
              <w:t xml:space="preserve">QR-Code-Scanner </w:t>
            </w:r>
            <w:r w:rsidR="001B3C3F">
              <w:t>der Kamera oder als App</w:t>
            </w:r>
            <w:r>
              <w:t>, z.B.</w:t>
            </w:r>
          </w:p>
          <w:p w14:paraId="683D55E6" w14:textId="12F1AF0A" w:rsidR="00766782" w:rsidRPr="00A7582E" w:rsidRDefault="00A7582E" w:rsidP="00A7582E">
            <w:pPr>
              <w:rPr>
                <w:lang w:val="en-GB"/>
              </w:rPr>
            </w:pPr>
            <w:r w:rsidRPr="00A7582E">
              <w:rPr>
                <w:lang w:val="en-GB"/>
              </w:rPr>
              <w:t xml:space="preserve">* </w:t>
            </w:r>
            <w:r w:rsidR="000B05EC" w:rsidRPr="00A7582E">
              <w:rPr>
                <w:lang w:val="en-GB"/>
              </w:rPr>
              <w:t>QR-Scanner (</w:t>
            </w:r>
            <w:proofErr w:type="spellStart"/>
            <w:r w:rsidR="000B05EC" w:rsidRPr="00A7582E">
              <w:rPr>
                <w:lang w:val="en-GB"/>
              </w:rPr>
              <w:t>KidControl</w:t>
            </w:r>
            <w:proofErr w:type="spellEnd"/>
            <w:r w:rsidR="000B05EC" w:rsidRPr="00A7582E">
              <w:rPr>
                <w:lang w:val="en-GB"/>
              </w:rPr>
              <w:t xml:space="preserve"> Dev.)</w:t>
            </w:r>
          </w:p>
          <w:p w14:paraId="1415462E" w14:textId="301DD7B1" w:rsidR="000B05EC" w:rsidRPr="00A7582E" w:rsidRDefault="00A7582E" w:rsidP="00A7582E">
            <w:pPr>
              <w:rPr>
                <w:lang w:val="en-GB"/>
              </w:rPr>
            </w:pPr>
            <w:r>
              <w:rPr>
                <w:lang w:val="en-GB"/>
              </w:rPr>
              <w:t xml:space="preserve">* </w:t>
            </w:r>
            <w:r w:rsidR="000B05EC" w:rsidRPr="00A7582E">
              <w:rPr>
                <w:lang w:val="en-GB"/>
              </w:rPr>
              <w:t>QR &amp; Barcode Scanner (Gamma Play)</w:t>
            </w:r>
          </w:p>
          <w:p w14:paraId="59E72F92" w14:textId="6DD297B2" w:rsidR="00766782" w:rsidRPr="0060217A" w:rsidRDefault="00766782" w:rsidP="002A0740">
            <w:pPr>
              <w:rPr>
                <w:lang w:val="en-GB"/>
              </w:rPr>
            </w:pPr>
            <w:proofErr w:type="spellStart"/>
            <w:r w:rsidRPr="00766782">
              <w:rPr>
                <w:lang w:val="en-GB"/>
              </w:rPr>
              <w:t>Webbrowser</w:t>
            </w:r>
            <w:proofErr w:type="spellEnd"/>
          </w:p>
        </w:tc>
        <w:tc>
          <w:tcPr>
            <w:tcW w:w="3680" w:type="dxa"/>
          </w:tcPr>
          <w:p w14:paraId="1518C7E3" w14:textId="25647C47" w:rsidR="0059334A" w:rsidRDefault="00766782">
            <w:r>
              <w:t>einfacher Text-Editor</w:t>
            </w:r>
          </w:p>
          <w:p w14:paraId="1B00734E" w14:textId="77777777" w:rsidR="00A7582E" w:rsidRDefault="00A7582E"/>
          <w:p w14:paraId="72B90CC1" w14:textId="5BE8B852" w:rsidR="00CE6E3A" w:rsidRPr="008B6711" w:rsidRDefault="008B6711">
            <w:r w:rsidRPr="008B6711">
              <w:t xml:space="preserve">OER lizensierte </w:t>
            </w:r>
            <w:r w:rsidR="00CE6E3A" w:rsidRPr="008B6711">
              <w:t xml:space="preserve">html-Maske </w:t>
            </w:r>
            <w:r w:rsidRPr="008B6711">
              <w:t xml:space="preserve">für </w:t>
            </w:r>
            <w:r>
              <w:t xml:space="preserve">5 </w:t>
            </w:r>
            <w:r w:rsidR="00A7582E">
              <w:t xml:space="preserve">bzw.6 </w:t>
            </w:r>
            <w:r>
              <w:t xml:space="preserve">Hilfen </w:t>
            </w:r>
            <w:r w:rsidR="00CE6E3A" w:rsidRPr="008B6711">
              <w:t xml:space="preserve">(Download </w:t>
            </w:r>
            <w:r w:rsidR="00415CD6">
              <w:t>unter</w:t>
            </w:r>
            <w:r w:rsidR="00415CD6">
              <w:br/>
            </w:r>
            <w:hyperlink r:id="rId7" w:history="1">
              <w:r w:rsidR="00FC4498" w:rsidRPr="00201F4C">
                <w:rPr>
                  <w:rStyle w:val="Hyperlink"/>
                </w:rPr>
                <w:t>http://www.stäudel.de/Masken.zip</w:t>
              </w:r>
            </w:hyperlink>
            <w:r w:rsidR="00FC4498">
              <w:t xml:space="preserve"> )</w:t>
            </w:r>
          </w:p>
          <w:p w14:paraId="402B3848" w14:textId="77777777" w:rsidR="00CE6E3A" w:rsidRPr="008B6711" w:rsidRDefault="00CE6E3A"/>
          <w:p w14:paraId="551AF8D9" w14:textId="7FC28D8E" w:rsidR="00766782" w:rsidRDefault="00766782">
            <w:r w:rsidRPr="00766782">
              <w:t xml:space="preserve">QR-Code-Maker </w:t>
            </w:r>
            <w:r w:rsidR="00FC4498">
              <w:br/>
            </w:r>
            <w:r w:rsidR="00CF296A">
              <w:t>(</w:t>
            </w:r>
            <w:r w:rsidRPr="00766782">
              <w:t>als onli</w:t>
            </w:r>
            <w:r>
              <w:t>ne-Tool kostenlos)</w:t>
            </w:r>
            <w:r w:rsidR="0060217A">
              <w:t>, z.B.</w:t>
            </w:r>
          </w:p>
          <w:p w14:paraId="06C97CBE" w14:textId="5F1FEFAE" w:rsidR="0060217A" w:rsidRDefault="00A7582E" w:rsidP="002A0740">
            <w:r>
              <w:t xml:space="preserve">* </w:t>
            </w:r>
            <w:proofErr w:type="spellStart"/>
            <w:r w:rsidR="0060217A">
              <w:t>QRcode</w:t>
            </w:r>
            <w:proofErr w:type="spellEnd"/>
            <w:r w:rsidR="0060217A">
              <w:t>-Monkey</w:t>
            </w:r>
            <w:r w:rsidR="00CF296A">
              <w:t xml:space="preserve"> </w:t>
            </w:r>
          </w:p>
          <w:p w14:paraId="7AC34BAD" w14:textId="1DC036FD" w:rsidR="0060217A" w:rsidRDefault="00A7582E" w:rsidP="00A7582E">
            <w:r>
              <w:t xml:space="preserve">* </w:t>
            </w:r>
            <w:r w:rsidR="000B05EC">
              <w:t>goQR.me</w:t>
            </w:r>
          </w:p>
          <w:p w14:paraId="720A3B62" w14:textId="77777777" w:rsidR="00A7582E" w:rsidRDefault="00A7582E" w:rsidP="002A0740"/>
          <w:p w14:paraId="313B3711" w14:textId="3CAA9F35" w:rsidR="000B05EC" w:rsidRDefault="000B05EC" w:rsidP="000B05EC">
            <w:pPr>
              <w:rPr>
                <w:lang w:val="en-GB"/>
              </w:rPr>
            </w:pPr>
            <w:r w:rsidRPr="000B05EC">
              <w:rPr>
                <w:lang w:val="en-GB"/>
              </w:rPr>
              <w:t>Upload-Tool (</w:t>
            </w:r>
            <w:proofErr w:type="spellStart"/>
            <w:r w:rsidRPr="000B05EC">
              <w:rPr>
                <w:lang w:val="en-GB"/>
              </w:rPr>
              <w:t>z.B</w:t>
            </w:r>
            <w:proofErr w:type="spellEnd"/>
            <w:r w:rsidRPr="000B05EC">
              <w:rPr>
                <w:lang w:val="en-GB"/>
              </w:rPr>
              <w:t>. f</w:t>
            </w:r>
            <w:r>
              <w:rPr>
                <w:lang w:val="en-GB"/>
              </w:rPr>
              <w:t>tp)</w:t>
            </w:r>
            <w:r w:rsidR="00FC4498">
              <w:rPr>
                <w:lang w:val="en-GB"/>
              </w:rPr>
              <w:t xml:space="preserve"> </w:t>
            </w:r>
            <w:proofErr w:type="spellStart"/>
            <w:r w:rsidR="00FC4498">
              <w:rPr>
                <w:lang w:val="en-GB"/>
              </w:rPr>
              <w:t>oder</w:t>
            </w:r>
            <w:proofErr w:type="spellEnd"/>
            <w:r w:rsidR="00FC4498">
              <w:rPr>
                <w:lang w:val="en-GB"/>
              </w:rPr>
              <w:t xml:space="preserve"> </w:t>
            </w:r>
          </w:p>
          <w:p w14:paraId="2B9244C1" w14:textId="77777777" w:rsidR="00A7582E" w:rsidRDefault="00A7582E" w:rsidP="000B05EC">
            <w:pPr>
              <w:rPr>
                <w:lang w:val="en-GB"/>
              </w:rPr>
            </w:pPr>
          </w:p>
          <w:p w14:paraId="47BC4D89" w14:textId="77777777" w:rsidR="000B05EC" w:rsidRDefault="000B05EC" w:rsidP="000B05EC">
            <w:r w:rsidRPr="00CF296A">
              <w:t>Base64-Encoder</w:t>
            </w:r>
            <w:r w:rsidR="00CF296A" w:rsidRPr="00CF296A">
              <w:t xml:space="preserve"> (zum Einbinden v</w:t>
            </w:r>
            <w:r w:rsidR="00CF296A">
              <w:t>on Bildern</w:t>
            </w:r>
            <w:r w:rsidR="00CE6E3A">
              <w:t xml:space="preserve"> </w:t>
            </w:r>
            <w:r w:rsidR="00CF296A">
              <w:t>– wenn gewünscht), z.B.</w:t>
            </w:r>
          </w:p>
          <w:p w14:paraId="1DF749C1" w14:textId="4271AB2A" w:rsidR="00CF296A" w:rsidRDefault="00A7582E" w:rsidP="002A0740">
            <w:hyperlink r:id="rId8" w:history="1">
              <w:r w:rsidRPr="002A0740">
                <w:rPr>
                  <w:rStyle w:val="Hyperlink"/>
                </w:rPr>
                <w:t>https://www.base64-image.de/</w:t>
              </w:r>
            </w:hyperlink>
          </w:p>
          <w:p w14:paraId="6AC3F3A6" w14:textId="77777777" w:rsidR="00A7582E" w:rsidRDefault="00A7582E" w:rsidP="00CF296A"/>
          <w:p w14:paraId="32D52171" w14:textId="7B54440F" w:rsidR="00CE6E3A" w:rsidRDefault="00CE6E3A" w:rsidP="00CF296A">
            <w:r>
              <w:t>Video-to-Base64-Encoder (zum Einbinden von Videos – wenn gewünscht), z.B.</w:t>
            </w:r>
          </w:p>
          <w:p w14:paraId="3570CBF6" w14:textId="319F2AB5" w:rsidR="00CE6E3A" w:rsidRPr="00CF296A" w:rsidRDefault="0053038A" w:rsidP="002A0740">
            <w:hyperlink r:id="rId9" w:history="1">
              <w:r w:rsidRPr="002A0740">
                <w:rPr>
                  <w:rStyle w:val="Hyperlink"/>
                </w:rPr>
                <w:t>https://base64.guru/</w:t>
              </w:r>
            </w:hyperlink>
            <w:r w:rsidR="00CE6E3A">
              <w:t xml:space="preserve"> </w:t>
            </w:r>
          </w:p>
        </w:tc>
      </w:tr>
    </w:tbl>
    <w:p w14:paraId="0ADCC209" w14:textId="77777777" w:rsidR="0059334A" w:rsidRPr="00CF296A" w:rsidRDefault="0059334A">
      <w:pPr>
        <w:rPr>
          <w:b/>
          <w:bCs/>
        </w:rPr>
      </w:pPr>
    </w:p>
    <w:p w14:paraId="520C997A" w14:textId="38E47084" w:rsidR="0059334A" w:rsidRPr="002A0740" w:rsidRDefault="003D065B">
      <w:r w:rsidRPr="002A0740">
        <w:t xml:space="preserve">Struktur, Wirksamkeit </w:t>
      </w:r>
      <w:r>
        <w:t xml:space="preserve">und Bedingungen für die richtige Platzierung von Aufgaben mit gestuften Hilfen sind an anderer Stelle [6,7] bereits ausführlich beschrieben. Grob skizziert sollen leistungsfähigere Lerner eine gestellte Aufgabe ohne Hilfen bearbeiten; sie können anschließend ihre Lösung mit der Musterlösung (= der letzten Hilfe) vergleichen. Weniger starke Schülerinnen und Schüler </w:t>
      </w:r>
      <w:r>
        <w:t xml:space="preserve">arbeiten </w:t>
      </w:r>
      <w:r>
        <w:t xml:space="preserve">sich </w:t>
      </w:r>
      <w:r>
        <w:t>via QR-Code sukzessive an den Hilfen ab</w:t>
      </w:r>
      <w:r>
        <w:t xml:space="preserve">. </w:t>
      </w:r>
      <w:r w:rsidR="00FB0C9B">
        <w:t xml:space="preserve">Daher bietet das Aufgabenblatt jeweils 2 QR-Codes: einer führt zum Start der Hilfen, der zweite zur Komplettlösung. </w:t>
      </w:r>
    </w:p>
    <w:p w14:paraId="4868BEBA" w14:textId="77777777" w:rsidR="0059334A" w:rsidRPr="00CF296A" w:rsidRDefault="0059334A">
      <w:pPr>
        <w:rPr>
          <w:b/>
          <w:bCs/>
        </w:rPr>
      </w:pPr>
    </w:p>
    <w:p w14:paraId="7569C480" w14:textId="77777777" w:rsidR="00CE6E3A" w:rsidRDefault="00CE6E3A">
      <w:pPr>
        <w:rPr>
          <w:b/>
          <w:bCs/>
        </w:rPr>
      </w:pPr>
      <w:r>
        <w:rPr>
          <w:b/>
          <w:bCs/>
        </w:rPr>
        <w:br w:type="page"/>
      </w:r>
    </w:p>
    <w:p w14:paraId="4E9E0E41" w14:textId="1BBABA8C" w:rsidR="00BC6E8E" w:rsidRPr="00BC6E8E" w:rsidRDefault="004F6B30">
      <w:pPr>
        <w:rPr>
          <w:b/>
          <w:bCs/>
        </w:rPr>
      </w:pPr>
      <w:r>
        <w:rPr>
          <w:noProof/>
        </w:rPr>
        <w:lastRenderedPageBreak/>
        <w:drawing>
          <wp:anchor distT="0" distB="0" distL="114300" distR="114300" simplePos="0" relativeHeight="251660288" behindDoc="0" locked="0" layoutInCell="1" allowOverlap="1" wp14:anchorId="45F04138" wp14:editId="2D02E3E0">
            <wp:simplePos x="0" y="0"/>
            <wp:positionH relativeFrom="column">
              <wp:posOffset>4214948</wp:posOffset>
            </wp:positionH>
            <wp:positionV relativeFrom="paragraph">
              <wp:posOffset>146370</wp:posOffset>
            </wp:positionV>
            <wp:extent cx="1362075" cy="1362075"/>
            <wp:effectExtent l="0" t="0" r="9525"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page">
              <wp14:pctWidth>0</wp14:pctWidth>
            </wp14:sizeRelH>
            <wp14:sizeRelV relativeFrom="page">
              <wp14:pctHeight>0</wp14:pctHeight>
            </wp14:sizeRelV>
          </wp:anchor>
        </w:drawing>
      </w:r>
      <w:r w:rsidR="00BC6E8E" w:rsidRPr="00BC6E8E">
        <w:rPr>
          <w:b/>
          <w:bCs/>
        </w:rPr>
        <w:t xml:space="preserve">Fertige </w:t>
      </w:r>
      <w:r w:rsidR="00FB268A">
        <w:rPr>
          <w:b/>
          <w:bCs/>
        </w:rPr>
        <w:t>Aufgabenbeispiele</w:t>
      </w:r>
    </w:p>
    <w:p w14:paraId="2095BB2B" w14:textId="5BC343FD" w:rsidR="00117678" w:rsidRDefault="00BC6E8E">
      <w:r>
        <w:t>Zum Einstieg in die Nutzung dieses Lernsettings empfiehlt sich die Arbeit mit bereits ausgearbeiteten Aufgaben</w:t>
      </w:r>
      <w:r w:rsidR="00117678">
        <w:t>. Ca. 30 Beispiele für die MINT-Fächer finden Sie mit dem QR-Code rechts. Außer dem jeweiligen Aufgabenblatt mit den QR-Codes zu den Hilfen gibt es jeweils eine ZIP</w:t>
      </w:r>
      <w:r w:rsidR="001B3C3F">
        <w:t>-Datei</w:t>
      </w:r>
      <w:r w:rsidR="00117678">
        <w:t xml:space="preserve">, die zusätzlich auch die Hilfen-Datei selbst enthält. So können Sie die Hilfen auch auf Ihren eigenen Server laden – müssen dann aber die neue </w:t>
      </w:r>
      <w:r w:rsidR="004F6B30">
        <w:t>URL-</w:t>
      </w:r>
      <w:r w:rsidR="00117678">
        <w:t>Adresse auch neu codieren.</w:t>
      </w:r>
    </w:p>
    <w:p w14:paraId="2B3A1526" w14:textId="77777777" w:rsidR="00117678" w:rsidRPr="00117678" w:rsidRDefault="00117678">
      <w:pPr>
        <w:rPr>
          <w:b/>
          <w:bCs/>
        </w:rPr>
      </w:pPr>
      <w:r w:rsidRPr="00117678">
        <w:rPr>
          <w:b/>
          <w:bCs/>
        </w:rPr>
        <w:t>Aufgaben verändern</w:t>
      </w:r>
    </w:p>
    <w:p w14:paraId="6E4A12F1" w14:textId="6D1434AC" w:rsidR="007A47F5" w:rsidRDefault="004F6B30">
      <w:r>
        <w:t>Auch bei gut eingeführten Aufgaben kommt es oft vor, dass der fachsprachliche Umgang mit einem Inhalt von Lehrkraft zu Lehrkraft variiert. Oder aber das Vorwissen der eigenen Lerngruppe ist geringer oder umfangreicher als bei der Formulierung der Aufgabe angenommen. In beiden Fällen ist es notwendig, sowohl den Zuschnitt der Aufgabenstellung zu verändern wie auch die Formulierung der Hilfen</w:t>
      </w:r>
      <w:r w:rsidR="00B13DE8">
        <w:t xml:space="preserve">. Dazu lädt man die html-Datei in einen einfachen </w:t>
      </w:r>
      <w:r w:rsidR="001B3C3F">
        <w:t>Text-</w:t>
      </w:r>
      <w:r w:rsidR="00B13DE8">
        <w:t>Editor</w:t>
      </w:r>
      <w:r w:rsidR="00FB268A">
        <w:t>.</w:t>
      </w:r>
      <w:r w:rsidR="00B13DE8">
        <w:t xml:space="preserve"> </w:t>
      </w:r>
      <w:r w:rsidR="00FB0C9B">
        <w:t>U</w:t>
      </w:r>
      <w:r w:rsidR="00B13DE8">
        <w:t xml:space="preserve">nter keinen Umständen </w:t>
      </w:r>
      <w:r w:rsidR="00FB0C9B">
        <w:t xml:space="preserve">darf man </w:t>
      </w:r>
      <w:r w:rsidR="00B13DE8">
        <w:t>einen komplexen Editor wie Word</w:t>
      </w:r>
      <w:r w:rsidR="00FB0C9B">
        <w:t xml:space="preserve"> verwenden</w:t>
      </w:r>
      <w:r w:rsidR="00B13DE8">
        <w:t>, dieser zerstört die html-Syntax! Dann sucht man die zu verändernde Hilfe, entweder durch Suche nach dem zu bearbeitenden Text oder nach der Kennung der Hilfe</w:t>
      </w:r>
      <w:r w:rsidR="00190616">
        <w:t xml:space="preserve"> (Impulse und Antworten sind durchnummeriert, also „</w:t>
      </w:r>
      <w:proofErr w:type="spellStart"/>
      <w:r w:rsidR="00190616">
        <w:t>help</w:t>
      </w:r>
      <w:proofErr w:type="spellEnd"/>
      <w:r w:rsidR="00190616">
        <w:t xml:space="preserve"> 1“ entspricht „step1“, „</w:t>
      </w:r>
      <w:proofErr w:type="spellStart"/>
      <w:r w:rsidR="00190616">
        <w:t>answer</w:t>
      </w:r>
      <w:proofErr w:type="spellEnd"/>
      <w:r w:rsidR="00190616">
        <w:t xml:space="preserve"> 1“, entspricht „step2“ usw. </w:t>
      </w:r>
    </w:p>
    <w:p w14:paraId="2AC593F9" w14:textId="77777777" w:rsidR="00B13DE8" w:rsidRDefault="00B13DE8">
      <w:r>
        <w:t xml:space="preserve">Soll zum Beispiel der </w:t>
      </w:r>
      <w:r w:rsidR="00190616">
        <w:t>Hilfe</w:t>
      </w:r>
      <w:r>
        <w:t xml:space="preserve"> 2 </w:t>
      </w:r>
      <w:r w:rsidR="00C03B29">
        <w:t xml:space="preserve">verändert werden, dann </w:t>
      </w:r>
      <w:r w:rsidR="00C60EAE">
        <w:t>wird hier</w:t>
      </w:r>
    </w:p>
    <w:p w14:paraId="78CA8B00" w14:textId="77777777" w:rsidR="00190616" w:rsidRPr="00DB4251" w:rsidRDefault="00190616" w:rsidP="00190616">
      <w:pPr>
        <w:ind w:left="426"/>
        <w:rPr>
          <w:lang w:val="en-GB"/>
        </w:rPr>
      </w:pPr>
      <w:r w:rsidRPr="00DB4251">
        <w:rPr>
          <w:lang w:val="en-GB"/>
        </w:rPr>
        <w:t>&lt;div id="step3"&gt;&lt;!-- help 2 --&gt;</w:t>
      </w:r>
    </w:p>
    <w:p w14:paraId="0D436D26" w14:textId="77777777" w:rsidR="00190616" w:rsidRPr="00190616" w:rsidRDefault="00190616" w:rsidP="00190616">
      <w:pPr>
        <w:ind w:left="426"/>
        <w:rPr>
          <w:lang w:val="en-GB"/>
        </w:rPr>
      </w:pPr>
      <w:r w:rsidRPr="00190616">
        <w:rPr>
          <w:lang w:val="en-GB"/>
        </w:rPr>
        <w:t>&lt;p&gt;TEXT-TEXT- TEXT- TEXT- TEXT- TEXT- TEXT- TEXT- TEXT- TEXT- TEXT- TEXT&lt;/p&gt;</w:t>
      </w:r>
    </w:p>
    <w:p w14:paraId="6EBEFEE1" w14:textId="77777777" w:rsidR="00585654" w:rsidRPr="00DB4251" w:rsidRDefault="00190616" w:rsidP="00190616">
      <w:pPr>
        <w:ind w:left="426"/>
      </w:pPr>
      <w:r w:rsidRPr="00DB4251">
        <w:t>&lt;/div&gt;</w:t>
      </w:r>
    </w:p>
    <w:p w14:paraId="3044E0CB" w14:textId="12C86BCC" w:rsidR="00190616" w:rsidRDefault="00190616">
      <w:r w:rsidRPr="00190616">
        <w:t>zwischen &lt;p&gt; und &lt;/p&gt; der gewünschte Text eingetragen</w:t>
      </w:r>
      <w:r>
        <w:t xml:space="preserve">, dann wird die Datei gespeichert, geschlossen und auf einen Serverplatz hochgeladen. Wenn </w:t>
      </w:r>
      <w:r w:rsidR="00FB0C9B">
        <w:t xml:space="preserve">bzw. weil </w:t>
      </w:r>
      <w:r>
        <w:t xml:space="preserve">dabei die Adresse verändert wird, ist ein neuer QR-Code nötig; </w:t>
      </w:r>
      <w:r w:rsidR="00BA043D">
        <w:t xml:space="preserve">hier wird gezeigt, wie </w:t>
      </w:r>
      <w:r w:rsidR="00FB0C9B">
        <w:t xml:space="preserve">dieser </w:t>
      </w:r>
      <w:r w:rsidR="00BA043D">
        <w:t xml:space="preserve">mit dem Online-Tool </w:t>
      </w:r>
      <w:proofErr w:type="spellStart"/>
      <w:r w:rsidR="00BA043D">
        <w:t>QRCode</w:t>
      </w:r>
      <w:proofErr w:type="spellEnd"/>
      <w:r w:rsidR="00BA043D">
        <w:t xml:space="preserve">-Monkey </w:t>
      </w:r>
      <w:r w:rsidR="00FB0C9B">
        <w:t>erzeugt</w:t>
      </w:r>
      <w:r w:rsidR="00FB0C9B">
        <w:t xml:space="preserve"> </w:t>
      </w:r>
      <w:r w:rsidR="00BA043D">
        <w:t>werden kann:</w:t>
      </w:r>
    </w:p>
    <w:p w14:paraId="5D70AAAE" w14:textId="77777777" w:rsidR="00BA043D" w:rsidRDefault="00BA043D" w:rsidP="00BA043D">
      <w:pPr>
        <w:pStyle w:val="Listenabsatz"/>
        <w:numPr>
          <w:ilvl w:val="0"/>
          <w:numId w:val="1"/>
        </w:numPr>
      </w:pPr>
      <w:r>
        <w:t xml:space="preserve">Tool im Browser öffnen </w:t>
      </w:r>
      <w:hyperlink r:id="rId11" w:history="1">
        <w:r>
          <w:rPr>
            <w:rStyle w:val="Hyperlink"/>
          </w:rPr>
          <w:t>https://www.qrcode-monkey.com/de</w:t>
        </w:r>
      </w:hyperlink>
    </w:p>
    <w:p w14:paraId="4650B45F" w14:textId="77777777" w:rsidR="00BA043D" w:rsidRDefault="00BA043D" w:rsidP="00BA043D">
      <w:pPr>
        <w:pStyle w:val="Listenabsatz"/>
        <w:numPr>
          <w:ilvl w:val="0"/>
          <w:numId w:val="1"/>
        </w:numPr>
      </w:pPr>
      <w:r>
        <w:t xml:space="preserve">URL der </w:t>
      </w:r>
      <w:proofErr w:type="spellStart"/>
      <w:r>
        <w:t>Hilfendatei</w:t>
      </w:r>
      <w:proofErr w:type="spellEnd"/>
      <w:r>
        <w:t xml:space="preserve"> eintragen</w:t>
      </w:r>
    </w:p>
    <w:p w14:paraId="21246E37" w14:textId="77777777" w:rsidR="00BA043D" w:rsidRDefault="00BA043D" w:rsidP="00BA043D">
      <w:pPr>
        <w:pStyle w:val="Listenabsatz"/>
      </w:pPr>
      <w:r>
        <w:rPr>
          <w:noProof/>
        </w:rPr>
        <w:drawing>
          <wp:inline distT="0" distB="0" distL="0" distR="0" wp14:anchorId="62ECDCBE" wp14:editId="33DD5318">
            <wp:extent cx="4214388" cy="1023866"/>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0651" cy="1047253"/>
                    </a:xfrm>
                    <a:prstGeom prst="rect">
                      <a:avLst/>
                    </a:prstGeom>
                  </pic:spPr>
                </pic:pic>
              </a:graphicData>
            </a:graphic>
          </wp:inline>
        </w:drawing>
      </w:r>
    </w:p>
    <w:p w14:paraId="0DA4F552" w14:textId="763895DE" w:rsidR="00BA043D" w:rsidRDefault="00BA043D" w:rsidP="00BA043D">
      <w:pPr>
        <w:pStyle w:val="Listenabsatz"/>
        <w:numPr>
          <w:ilvl w:val="0"/>
          <w:numId w:val="1"/>
        </w:numPr>
      </w:pPr>
      <w:r>
        <w:t>ggf. „Logo“ einfügen, dazu eine geeignete Bild-Datei hochladen</w:t>
      </w:r>
      <w:r w:rsidR="00B46D24">
        <w:t>, z.B. das Bild eines „H“</w:t>
      </w:r>
      <w:r w:rsidR="00FB0C9B">
        <w:t xml:space="preserve"> </w:t>
      </w:r>
    </w:p>
    <w:p w14:paraId="0C640D41" w14:textId="77777777" w:rsidR="00BA043D" w:rsidRDefault="00B46D24" w:rsidP="00BA043D">
      <w:pPr>
        <w:pStyle w:val="Listenabsatz"/>
      </w:pPr>
      <w:r>
        <w:rPr>
          <w:noProof/>
        </w:rPr>
        <w:drawing>
          <wp:inline distT="0" distB="0" distL="0" distR="0" wp14:anchorId="4CC9930A" wp14:editId="6C1ABFDF">
            <wp:extent cx="4213860" cy="120628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3323" cy="1217579"/>
                    </a:xfrm>
                    <a:prstGeom prst="rect">
                      <a:avLst/>
                    </a:prstGeom>
                  </pic:spPr>
                </pic:pic>
              </a:graphicData>
            </a:graphic>
          </wp:inline>
        </w:drawing>
      </w:r>
    </w:p>
    <w:p w14:paraId="755D2E82" w14:textId="5CBF6508" w:rsidR="00B46D24" w:rsidRDefault="000E6F6E" w:rsidP="00BA043D">
      <w:pPr>
        <w:pStyle w:val="Listenabsatz"/>
      </w:pPr>
      <w:r>
        <w:rPr>
          <w:noProof/>
        </w:rPr>
        <w:lastRenderedPageBreak/>
        <w:drawing>
          <wp:anchor distT="0" distB="0" distL="114300" distR="114300" simplePos="0" relativeHeight="251661312" behindDoc="0" locked="0" layoutInCell="1" allowOverlap="1" wp14:anchorId="593FB4AA" wp14:editId="02220033">
            <wp:simplePos x="0" y="0"/>
            <wp:positionH relativeFrom="column">
              <wp:posOffset>4092575</wp:posOffset>
            </wp:positionH>
            <wp:positionV relativeFrom="paragraph">
              <wp:posOffset>450850</wp:posOffset>
            </wp:positionV>
            <wp:extent cx="1500505" cy="2108835"/>
            <wp:effectExtent l="0" t="0" r="4445" b="571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0505" cy="2108835"/>
                    </a:xfrm>
                    <a:prstGeom prst="rect">
                      <a:avLst/>
                    </a:prstGeom>
                  </pic:spPr>
                </pic:pic>
              </a:graphicData>
            </a:graphic>
            <wp14:sizeRelH relativeFrom="page">
              <wp14:pctWidth>0</wp14:pctWidth>
            </wp14:sizeRelH>
            <wp14:sizeRelV relativeFrom="page">
              <wp14:pctHeight>0</wp14:pctHeight>
            </wp14:sizeRelV>
          </wp:anchor>
        </w:drawing>
      </w:r>
      <w:r w:rsidR="00B46D24">
        <w:t xml:space="preserve">„H“ und „L“ stehen zusammen mit zwei leeren html-Masken zum </w:t>
      </w:r>
      <w:proofErr w:type="spellStart"/>
      <w:r w:rsidR="00B46D24">
        <w:t>Downlaod</w:t>
      </w:r>
      <w:proofErr w:type="spellEnd"/>
      <w:r w:rsidR="00B46D24">
        <w:t xml:space="preserve"> bereit. Es können aber auch beliebig anderer Text oder Grafik als Bilddatei hochgeladen und eingesetzt werden.</w:t>
      </w:r>
    </w:p>
    <w:p w14:paraId="12CE1E66" w14:textId="2DDC2782" w:rsidR="000E6F6E" w:rsidRDefault="000E6F6E" w:rsidP="000E6F6E">
      <w:pPr>
        <w:pStyle w:val="Listenabsatz"/>
        <w:numPr>
          <w:ilvl w:val="0"/>
          <w:numId w:val="1"/>
        </w:numPr>
      </w:pPr>
      <w:r>
        <w:t xml:space="preserve">QR-Code erzeugen und herunterladen (oder direkt vom Bildschirm via </w:t>
      </w:r>
      <w:proofErr w:type="spellStart"/>
      <w:r>
        <w:t>copy</w:t>
      </w:r>
      <w:r w:rsidR="0007065C">
        <w:t>&amp;paste</w:t>
      </w:r>
      <w:proofErr w:type="spellEnd"/>
      <w:r>
        <w:t xml:space="preserve"> aufs Arbeitsblatt übertragen).</w:t>
      </w:r>
      <w:r w:rsidRPr="000E6F6E">
        <w:rPr>
          <w:noProof/>
        </w:rPr>
        <w:t xml:space="preserve"> </w:t>
      </w:r>
      <w:r>
        <w:rPr>
          <w:noProof/>
        </w:rPr>
        <w:br/>
        <w:t>Standardmäßig erfolgt ein Download als .png-Datei in den Download-Ordner. Man kann die Größe und Auflösung in weiten Grenzen verändern, die voreingestellten 1000 x 1000 Px sind aber für Arbeitblätter im Unterricht sehr gut geeignet.</w:t>
      </w:r>
    </w:p>
    <w:p w14:paraId="0870FB8F" w14:textId="77777777" w:rsidR="00BA043D" w:rsidRDefault="000E6F6E" w:rsidP="00BA043D">
      <w:pPr>
        <w:pStyle w:val="Listenabsatz"/>
      </w:pPr>
      <w:r>
        <w:t xml:space="preserve"> </w:t>
      </w:r>
    </w:p>
    <w:p w14:paraId="716F61E1" w14:textId="77777777" w:rsidR="00BA043D" w:rsidRDefault="00BA043D" w:rsidP="00BA043D">
      <w:pPr>
        <w:pStyle w:val="Listenabsatz"/>
      </w:pPr>
    </w:p>
    <w:p w14:paraId="590AF923" w14:textId="10194BF9" w:rsidR="008B6711" w:rsidRDefault="00BB1DA7">
      <w:r w:rsidRPr="00190616">
        <w:t xml:space="preserve"> </w:t>
      </w:r>
      <w:r w:rsidR="00D469DA" w:rsidRPr="00190616">
        <w:t xml:space="preserve"> </w:t>
      </w:r>
    </w:p>
    <w:p w14:paraId="15048C0F" w14:textId="71621263" w:rsidR="000E6F6E" w:rsidRDefault="000E6F6E"/>
    <w:p w14:paraId="6A7DD4D8" w14:textId="7FFB7A33" w:rsidR="000E6F6E" w:rsidRPr="000E6F6E" w:rsidRDefault="000E6F6E">
      <w:pPr>
        <w:rPr>
          <w:b/>
          <w:bCs/>
        </w:rPr>
      </w:pPr>
      <w:r w:rsidRPr="000E6F6E">
        <w:rPr>
          <w:b/>
          <w:bCs/>
        </w:rPr>
        <w:t>Eigene Aufgaben gestalten</w:t>
      </w:r>
    </w:p>
    <w:p w14:paraId="785B418D" w14:textId="1407568D" w:rsidR="000E6F6E" w:rsidRPr="002A0740" w:rsidRDefault="00FE65E8">
      <w:pPr>
        <w:rPr>
          <w:strike/>
        </w:rPr>
      </w:pPr>
      <w:r>
        <w:t>Wie bei anderen Unterrichtsmaterialien auch ist die Königsdisziplin die Erstellung eigener Aufgaben mit angepassten Hilfen.</w:t>
      </w:r>
      <w:r w:rsidR="00FB268A">
        <w:t xml:space="preserve"> Die Vorgehensweise wird am folgenden Beispiel aufgezeigt</w:t>
      </w:r>
      <w:r w:rsidR="00FB0C9B">
        <w:rPr>
          <w:strike/>
        </w:rPr>
        <w:t>:</w:t>
      </w:r>
    </w:p>
    <w:p w14:paraId="4A9D5C9B" w14:textId="03B411DF" w:rsidR="00FB268A" w:rsidRPr="002A0740" w:rsidRDefault="00FB0C9B">
      <w:pPr>
        <w:rPr>
          <w:b/>
          <w:bCs/>
        </w:rPr>
      </w:pPr>
      <w:r>
        <w:rPr>
          <w:noProof/>
        </w:rPr>
        <mc:AlternateContent>
          <mc:Choice Requires="wps">
            <w:drawing>
              <wp:anchor distT="45720" distB="45720" distL="114300" distR="114300" simplePos="0" relativeHeight="251665408" behindDoc="0" locked="0" layoutInCell="1" allowOverlap="1" wp14:anchorId="521080D0" wp14:editId="1FA6D9D7">
                <wp:simplePos x="0" y="0"/>
                <wp:positionH relativeFrom="column">
                  <wp:posOffset>33655</wp:posOffset>
                </wp:positionH>
                <wp:positionV relativeFrom="paragraph">
                  <wp:posOffset>286385</wp:posOffset>
                </wp:positionV>
                <wp:extent cx="5562600" cy="332422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324225"/>
                        </a:xfrm>
                        <a:prstGeom prst="rect">
                          <a:avLst/>
                        </a:prstGeom>
                        <a:solidFill>
                          <a:srgbClr val="FFFFFF"/>
                        </a:solidFill>
                        <a:ln w="9525">
                          <a:solidFill>
                            <a:srgbClr val="000000"/>
                          </a:solidFill>
                          <a:miter lim="800000"/>
                          <a:headEnd/>
                          <a:tailEnd/>
                        </a:ln>
                      </wps:spPr>
                      <wps:txbx>
                        <w:txbxContent>
                          <w:p w14:paraId="15BFF020" w14:textId="02784617" w:rsidR="00FB0C9B" w:rsidRPr="002A0740" w:rsidRDefault="00FB0C9B" w:rsidP="002A0740">
                            <w:pPr>
                              <w:rPr>
                                <w:b/>
                                <w:bCs/>
                                <w:sz w:val="24"/>
                                <w:szCs w:val="24"/>
                              </w:rPr>
                            </w:pPr>
                            <w:r w:rsidRPr="002A0740">
                              <w:rPr>
                                <w:b/>
                                <w:bCs/>
                                <w:sz w:val="24"/>
                                <w:szCs w:val="24"/>
                              </w:rPr>
                              <w:t>Erdgas</w:t>
                            </w:r>
                            <w:r w:rsidR="002A0740">
                              <w:rPr>
                                <w:b/>
                                <w:bCs/>
                                <w:sz w:val="24"/>
                                <w:szCs w:val="24"/>
                              </w:rPr>
                              <w:t xml:space="preserve"> </w:t>
                            </w:r>
                            <w:r w:rsidRPr="002A0740">
                              <w:rPr>
                                <w:b/>
                                <w:bCs/>
                                <w:sz w:val="24"/>
                                <w:szCs w:val="24"/>
                              </w:rPr>
                              <w:t>- besser als Heizöl?</w:t>
                            </w:r>
                          </w:p>
                          <w:p w14:paraId="41A5957A" w14:textId="432FA454" w:rsidR="00FB0C9B" w:rsidRDefault="00FB0C9B" w:rsidP="00FB0C9B">
                            <w:pPr>
                              <w:ind w:left="709"/>
                            </w:pPr>
                            <w:r>
                              <w:t>I</w:t>
                            </w:r>
                            <w:r>
                              <w:t>m Klima-Paket der Bundesregierung ist eine Förderung für den Austausch von Ölheizungen zugunsten von Gasheizungen vorgesehen. Je nach Typ sollen 20 bis 40 % Zuschuss gewährt werden. Das soll helfen, den Ausstoß von klimaschädlichem CO</w:t>
                            </w:r>
                            <w:r w:rsidRPr="00AD57FA">
                              <w:rPr>
                                <w:vertAlign w:val="subscript"/>
                              </w:rPr>
                              <w:t>2</w:t>
                            </w:r>
                            <w:r>
                              <w:t xml:space="preserve"> zu vermindern.</w:t>
                            </w:r>
                          </w:p>
                          <w:p w14:paraId="08644DA7" w14:textId="77777777" w:rsidR="00FB0C9B" w:rsidRDefault="00FB0C9B" w:rsidP="00FB0C9B">
                            <w:pPr>
                              <w:ind w:left="709"/>
                            </w:pPr>
                            <w:r>
                              <w:t>Bei der Arbeit an einem Referat zur Energiewende stoßen Svenja und Robert auf einen Widerspruch: Das Umweltbundesamt stellt fest, dass Ölheizungen bei für 1 kWh 318 g CO</w:t>
                            </w:r>
                            <w:r w:rsidRPr="00BE3116">
                              <w:rPr>
                                <w:vertAlign w:val="subscript"/>
                              </w:rPr>
                              <w:t>2</w:t>
                            </w:r>
                            <w:r>
                              <w:t xml:space="preserve"> ausstoßen, Gasheizungen aber nur 247 g CO</w:t>
                            </w:r>
                            <w:r w:rsidRPr="00BE3116">
                              <w:rPr>
                                <w:vertAlign w:val="subscript"/>
                              </w:rPr>
                              <w:t>2</w:t>
                            </w:r>
                            <w:r>
                              <w:rPr>
                                <w:vertAlign w:val="subscript"/>
                              </w:rPr>
                              <w:t xml:space="preserve"> </w:t>
                            </w:r>
                            <w:r w:rsidRPr="00BE3116">
                              <w:t>.</w:t>
                            </w:r>
                            <w:r>
                              <w:t xml:space="preserve"> Das sind fast 30% mehr beim Heizöl! Wenn man aber anschaut, wie die Heizwerte von Heizöl und Erdgas sind, nämlich 11,8 kWh/kg beim Öl und 14 kWh beim Gas, dann sind die Unterschiede viel kleiner, nämlich weniger als 20%! </w:t>
                            </w:r>
                          </w:p>
                          <w:p w14:paraId="1B70A2DB" w14:textId="2DA51451" w:rsidR="00FB0C9B" w:rsidRDefault="002A0740" w:rsidP="00FB0C9B">
                            <w:r w:rsidRPr="002A0740">
                              <w:rPr>
                                <w:b/>
                                <w:bCs/>
                              </w:rPr>
                              <w:t xml:space="preserve">Eure </w:t>
                            </w:r>
                            <w:r w:rsidR="00FB0C9B" w:rsidRPr="002A0740">
                              <w:rPr>
                                <w:b/>
                                <w:bCs/>
                              </w:rPr>
                              <w:t>Aufgabe:</w:t>
                            </w:r>
                            <w:r w:rsidR="00FB0C9B">
                              <w:t xml:space="preserve"> </w:t>
                            </w:r>
                            <w:r w:rsidR="00FB0C9B">
                              <w:br/>
                              <w:t>Findet heraus, wie der große Unterschied des CO</w:t>
                            </w:r>
                            <w:r w:rsidR="00FB0C9B" w:rsidRPr="00AD57FA">
                              <w:rPr>
                                <w:vertAlign w:val="subscript"/>
                              </w:rPr>
                              <w:t>2</w:t>
                            </w:r>
                            <w:r w:rsidR="00FB0C9B">
                              <w:t>-Ausstoßes bei der Verbrennung von Erdöl und Gas zu erklären sind. Benutzt dazu die Summenformeln für Methan als Hauptbestandteil von Erdgas und eines (gesättigten) Kohlenwasserstoffs mit 20 Kohlenstoffatomen für Heizöl</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080D0" id="_x0000_t202" coordsize="21600,21600" o:spt="202" path="m,l,21600r21600,l21600,xe">
                <v:stroke joinstyle="miter"/>
                <v:path gradientshapeok="t" o:connecttype="rect"/>
              </v:shapetype>
              <v:shape id="Textfeld 2" o:spid="_x0000_s1026" type="#_x0000_t202" style="position:absolute;margin-left:2.65pt;margin-top:22.55pt;width:438pt;height:26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">
                <v:textbox>
                  <w:txbxContent>
                    <w:p w14:paraId="15BFF020" w14:textId="02784617" w:rsidR="00FB0C9B" w:rsidRPr="002A0740" w:rsidRDefault="00FB0C9B" w:rsidP="002A0740">
                      <w:pPr>
                        <w:rPr>
                          <w:b/>
                          <w:bCs/>
                          <w:sz w:val="24"/>
                          <w:szCs w:val="24"/>
                        </w:rPr>
                      </w:pPr>
                      <w:r w:rsidRPr="002A0740">
                        <w:rPr>
                          <w:b/>
                          <w:bCs/>
                          <w:sz w:val="24"/>
                          <w:szCs w:val="24"/>
                        </w:rPr>
                        <w:t>Erdgas</w:t>
                      </w:r>
                      <w:r w:rsidR="002A0740">
                        <w:rPr>
                          <w:b/>
                          <w:bCs/>
                          <w:sz w:val="24"/>
                          <w:szCs w:val="24"/>
                        </w:rPr>
                        <w:t xml:space="preserve"> </w:t>
                      </w:r>
                      <w:r w:rsidRPr="002A0740">
                        <w:rPr>
                          <w:b/>
                          <w:bCs/>
                          <w:sz w:val="24"/>
                          <w:szCs w:val="24"/>
                        </w:rPr>
                        <w:t>- besser als Heizöl?</w:t>
                      </w:r>
                    </w:p>
                    <w:p w14:paraId="41A5957A" w14:textId="432FA454" w:rsidR="00FB0C9B" w:rsidRDefault="00FB0C9B" w:rsidP="00FB0C9B">
                      <w:pPr>
                        <w:ind w:left="709"/>
                      </w:pPr>
                      <w:r>
                        <w:t>I</w:t>
                      </w:r>
                      <w:r>
                        <w:t>m Klima-Paket der Bundesregierung ist eine Förderung für den Austausch von Ölheizungen zugunsten von Gasheizungen vorgesehen. Je nach Typ sollen 20 bis 40 % Zuschuss gewährt werden. Das soll helfen, den Ausstoß von klimaschädlichem CO</w:t>
                      </w:r>
                      <w:r w:rsidRPr="00AD57FA">
                        <w:rPr>
                          <w:vertAlign w:val="subscript"/>
                        </w:rPr>
                        <w:t>2</w:t>
                      </w:r>
                      <w:r>
                        <w:t xml:space="preserve"> zu vermindern.</w:t>
                      </w:r>
                    </w:p>
                    <w:p w14:paraId="08644DA7" w14:textId="77777777" w:rsidR="00FB0C9B" w:rsidRDefault="00FB0C9B" w:rsidP="00FB0C9B">
                      <w:pPr>
                        <w:ind w:left="709"/>
                      </w:pPr>
                      <w:r>
                        <w:t>Bei der Arbeit an einem Referat zur Energiewende stoßen Svenja und Robert auf einen Widerspruch: Das Umweltbundesamt stellt fest, dass Ölheizungen bei für 1 kWh 318 g CO</w:t>
                      </w:r>
                      <w:r w:rsidRPr="00BE3116">
                        <w:rPr>
                          <w:vertAlign w:val="subscript"/>
                        </w:rPr>
                        <w:t>2</w:t>
                      </w:r>
                      <w:r>
                        <w:t xml:space="preserve"> ausstoßen, Gasheizungen aber nur 247 g CO</w:t>
                      </w:r>
                      <w:r w:rsidRPr="00BE3116">
                        <w:rPr>
                          <w:vertAlign w:val="subscript"/>
                        </w:rPr>
                        <w:t>2</w:t>
                      </w:r>
                      <w:r>
                        <w:rPr>
                          <w:vertAlign w:val="subscript"/>
                        </w:rPr>
                        <w:t xml:space="preserve"> </w:t>
                      </w:r>
                      <w:r w:rsidRPr="00BE3116">
                        <w:t>.</w:t>
                      </w:r>
                      <w:r>
                        <w:t xml:space="preserve"> Das sind fast 30% mehr beim Heizöl! Wenn man aber anschaut, wie die Heizwerte von Heizöl und Erdgas sind, nämlich 11,8 kWh/kg beim Öl und 14 kWh beim Gas, dann sind die Unterschiede viel kleiner, nämlich weniger als 20%! </w:t>
                      </w:r>
                    </w:p>
                    <w:p w14:paraId="1B70A2DB" w14:textId="2DA51451" w:rsidR="00FB0C9B" w:rsidRDefault="002A0740" w:rsidP="00FB0C9B">
                      <w:r w:rsidRPr="002A0740">
                        <w:rPr>
                          <w:b/>
                          <w:bCs/>
                        </w:rPr>
                        <w:t xml:space="preserve">Eure </w:t>
                      </w:r>
                      <w:r w:rsidR="00FB0C9B" w:rsidRPr="002A0740">
                        <w:rPr>
                          <w:b/>
                          <w:bCs/>
                        </w:rPr>
                        <w:t>Aufgabe:</w:t>
                      </w:r>
                      <w:r w:rsidR="00FB0C9B">
                        <w:t xml:space="preserve"> </w:t>
                      </w:r>
                      <w:r w:rsidR="00FB0C9B">
                        <w:br/>
                        <w:t>Findet heraus, wie der große Unterschied des CO</w:t>
                      </w:r>
                      <w:r w:rsidR="00FB0C9B" w:rsidRPr="00AD57FA">
                        <w:rPr>
                          <w:vertAlign w:val="subscript"/>
                        </w:rPr>
                        <w:t>2</w:t>
                      </w:r>
                      <w:r w:rsidR="00FB0C9B">
                        <w:t>-Ausstoßes bei der Verbrennung von Erdöl und Gas zu erklären sind. Benutzt dazu die Summenformeln für Methan als Hauptbestandteil von Erdgas und eines (gesättigten) Kohlenwasserstoffs mit 20 Kohlenstoffatomen für Heizöl</w:t>
                      </w:r>
                      <w:r>
                        <w:t>.</w:t>
                      </w:r>
                    </w:p>
                  </w:txbxContent>
                </v:textbox>
                <w10:wrap type="square"/>
              </v:shape>
            </w:pict>
          </mc:Fallback>
        </mc:AlternateContent>
      </w:r>
    </w:p>
    <w:p w14:paraId="22C51998" w14:textId="53B58B82" w:rsidR="000E6F6E" w:rsidRDefault="000E6F6E" w:rsidP="002A0740">
      <w:pPr>
        <w:ind w:left="709"/>
      </w:pPr>
    </w:p>
    <w:p w14:paraId="49600304" w14:textId="77777777" w:rsidR="002A0740" w:rsidRDefault="002A0740">
      <w:r>
        <w:br w:type="page"/>
      </w:r>
    </w:p>
    <w:p w14:paraId="35D1D502" w14:textId="79DA5E49" w:rsidR="00F16F6C" w:rsidRDefault="00FB268A" w:rsidP="00FB268A">
      <w:r>
        <w:lastRenderedPageBreak/>
        <w:t>Zunächst werden die Hilfen klassisch in einer</w:t>
      </w:r>
      <w:r w:rsidR="0091539C">
        <w:t xml:space="preserve"> zweispaltigen Tabelle</w:t>
      </w:r>
      <w:r>
        <w:t xml:space="preserve"> notiert (vgl. Tabelle 1)</w:t>
      </w:r>
      <w:r w:rsidR="0091539C">
        <w:t>.</w:t>
      </w:r>
      <w:r w:rsidR="00F16F6C">
        <w:t xml:space="preserve">  </w:t>
      </w:r>
      <w:r w:rsidR="00F16F6C">
        <w:br/>
      </w:r>
    </w:p>
    <w:tbl>
      <w:tblPr>
        <w:tblStyle w:val="Tabellenraster"/>
        <w:tblW w:w="9072" w:type="dxa"/>
        <w:tblInd w:w="-5" w:type="dxa"/>
        <w:tblLook w:val="04A0" w:firstRow="1" w:lastRow="0" w:firstColumn="1" w:lastColumn="0" w:noHBand="0" w:noVBand="1"/>
      </w:tblPr>
      <w:tblGrid>
        <w:gridCol w:w="4534"/>
        <w:gridCol w:w="4529"/>
        <w:gridCol w:w="9"/>
      </w:tblGrid>
      <w:tr w:rsidR="0091539C" w:rsidRPr="0091539C" w14:paraId="45A5A6BD" w14:textId="77777777" w:rsidTr="0091539C">
        <w:trPr>
          <w:gridAfter w:val="1"/>
          <w:wAfter w:w="9" w:type="dxa"/>
        </w:trPr>
        <w:tc>
          <w:tcPr>
            <w:tcW w:w="4534" w:type="dxa"/>
          </w:tcPr>
          <w:p w14:paraId="4DE56C24" w14:textId="77777777" w:rsidR="0091539C" w:rsidRPr="0091539C" w:rsidRDefault="00F16F6C" w:rsidP="0091539C">
            <w:r>
              <w:t xml:space="preserve">H1 </w:t>
            </w:r>
            <w:r>
              <w:br/>
              <w:t>Erklärt</w:t>
            </w:r>
            <w:r w:rsidR="0091539C">
              <w:t xml:space="preserve"> </w:t>
            </w:r>
            <w:r>
              <w:t xml:space="preserve">euch die </w:t>
            </w:r>
            <w:r w:rsidR="0091539C">
              <w:t xml:space="preserve">Aufgabe </w:t>
            </w:r>
            <w:r>
              <w:t>gegenseitig noch einmal in euren eigenen Worten.</w:t>
            </w:r>
            <w:r>
              <w:br/>
              <w:t xml:space="preserve">Klärt dabei, wie ihr die Aufgabe verstanden habt und was euch noch unklar ist. </w:t>
            </w:r>
          </w:p>
        </w:tc>
        <w:tc>
          <w:tcPr>
            <w:tcW w:w="4529" w:type="dxa"/>
          </w:tcPr>
          <w:p w14:paraId="757286AE" w14:textId="77777777" w:rsidR="0091539C" w:rsidRPr="0091539C" w:rsidRDefault="00F16F6C" w:rsidP="0091539C">
            <w:r>
              <w:t>L1</w:t>
            </w:r>
            <w:r>
              <w:br/>
            </w:r>
            <w:r w:rsidR="0091539C" w:rsidRPr="0091539C">
              <w:t xml:space="preserve">Wir sollen </w:t>
            </w:r>
            <w:r>
              <w:t>unter Benutzung der Summenformeln herausfinden, wieso beim Verbrennen von Methan weniger C0</w:t>
            </w:r>
            <w:r w:rsidRPr="00F16F6C">
              <w:rPr>
                <w:vertAlign w:val="subscript"/>
              </w:rPr>
              <w:t>2</w:t>
            </w:r>
            <w:r>
              <w:t xml:space="preserve"> gebildet wird als beim Verbrennen von Heizöl. </w:t>
            </w:r>
          </w:p>
        </w:tc>
      </w:tr>
      <w:tr w:rsidR="0091539C" w:rsidRPr="0091539C" w14:paraId="7E557175" w14:textId="77777777" w:rsidTr="0091539C">
        <w:trPr>
          <w:gridAfter w:val="1"/>
          <w:wAfter w:w="9" w:type="dxa"/>
        </w:trPr>
        <w:tc>
          <w:tcPr>
            <w:tcW w:w="4534" w:type="dxa"/>
          </w:tcPr>
          <w:p w14:paraId="7EFA7F4B" w14:textId="77777777" w:rsidR="009C017D" w:rsidRDefault="009C017D" w:rsidP="0091539C">
            <w:r>
              <w:t>H2</w:t>
            </w:r>
          </w:p>
          <w:p w14:paraId="6AF249E5" w14:textId="77777777" w:rsidR="0091539C" w:rsidRPr="0091539C" w:rsidRDefault="00F16F6C" w:rsidP="0091539C">
            <w:r>
              <w:t xml:space="preserve">Als erstes </w:t>
            </w:r>
            <w:r w:rsidR="001800E2">
              <w:t xml:space="preserve">müssen </w:t>
            </w:r>
            <w:r>
              <w:t>wir die Summenformeln für Methan und für den KW mit 20 C-Atomen</w:t>
            </w:r>
            <w:r w:rsidR="001800E2">
              <w:t xml:space="preserve"> aufstellen</w:t>
            </w:r>
            <w:r>
              <w:t>.</w:t>
            </w:r>
            <w:r w:rsidR="001800E2">
              <w:t xml:space="preserve"> </w:t>
            </w:r>
            <w:r w:rsidR="001800E2">
              <w:br/>
              <w:t>Erinnert euch an die allgemeine Formal für Alkane!</w:t>
            </w:r>
          </w:p>
        </w:tc>
        <w:tc>
          <w:tcPr>
            <w:tcW w:w="4529" w:type="dxa"/>
          </w:tcPr>
          <w:p w14:paraId="6C09B486" w14:textId="77777777" w:rsidR="009C017D" w:rsidRDefault="009C017D" w:rsidP="0091539C">
            <w:r>
              <w:t>L2</w:t>
            </w:r>
          </w:p>
          <w:p w14:paraId="4B5F6CE5" w14:textId="77777777" w:rsidR="001800E2" w:rsidRDefault="001800E2" w:rsidP="0091539C">
            <w:r>
              <w:t xml:space="preserve">Aus der allgemeinen Formel für Alkane </w:t>
            </w:r>
            <w:proofErr w:type="spellStart"/>
            <w:r>
              <w:t>C</w:t>
            </w:r>
            <w:r w:rsidRPr="001800E2">
              <w:rPr>
                <w:vertAlign w:val="subscript"/>
              </w:rPr>
              <w:t>n</w:t>
            </w:r>
            <w:r>
              <w:t>H</w:t>
            </w:r>
            <w:proofErr w:type="spellEnd"/>
            <w:r w:rsidRPr="001800E2">
              <w:rPr>
                <w:vertAlign w:val="subscript"/>
              </w:rPr>
              <w:t>(2n+2)</w:t>
            </w:r>
            <w:r>
              <w:t xml:space="preserve"> folgt</w:t>
            </w:r>
          </w:p>
          <w:p w14:paraId="26E15C8B" w14:textId="77777777" w:rsidR="0091539C" w:rsidRDefault="001800E2" w:rsidP="0091539C">
            <w:pPr>
              <w:rPr>
                <w:vertAlign w:val="subscript"/>
              </w:rPr>
            </w:pPr>
            <w:r>
              <w:t xml:space="preserve">für </w:t>
            </w:r>
            <w:r w:rsidR="00F16F6C">
              <w:t>Methan:     CH</w:t>
            </w:r>
            <w:r w:rsidR="00F16F6C" w:rsidRPr="00F16F6C">
              <w:rPr>
                <w:vertAlign w:val="subscript"/>
              </w:rPr>
              <w:t>4</w:t>
            </w:r>
          </w:p>
          <w:p w14:paraId="2EA801AF" w14:textId="77777777" w:rsidR="00F16F6C" w:rsidRPr="0091539C" w:rsidRDefault="001800E2" w:rsidP="0091539C">
            <w:r>
              <w:t xml:space="preserve">für </w:t>
            </w:r>
            <w:r w:rsidR="00F16F6C">
              <w:t>„Heizöl“:     C</w:t>
            </w:r>
            <w:r w:rsidR="00F16F6C" w:rsidRPr="00F16F6C">
              <w:rPr>
                <w:vertAlign w:val="subscript"/>
              </w:rPr>
              <w:t>20</w:t>
            </w:r>
            <w:r w:rsidR="00F16F6C" w:rsidRPr="00F16F6C">
              <w:t>H</w:t>
            </w:r>
            <w:r w:rsidR="00F16F6C" w:rsidRPr="00F16F6C">
              <w:rPr>
                <w:vertAlign w:val="subscript"/>
              </w:rPr>
              <w:t>42</w:t>
            </w:r>
            <w:r w:rsidR="00F16F6C">
              <w:t xml:space="preserve"> </w:t>
            </w:r>
          </w:p>
        </w:tc>
      </w:tr>
      <w:tr w:rsidR="0091539C" w:rsidRPr="002A0740" w14:paraId="7121E265" w14:textId="77777777" w:rsidTr="0091539C">
        <w:trPr>
          <w:gridAfter w:val="1"/>
          <w:wAfter w:w="9" w:type="dxa"/>
        </w:trPr>
        <w:tc>
          <w:tcPr>
            <w:tcW w:w="4534" w:type="dxa"/>
          </w:tcPr>
          <w:p w14:paraId="2EEEA25F" w14:textId="77777777" w:rsidR="009C017D" w:rsidRDefault="009C017D" w:rsidP="0091539C">
            <w:r>
              <w:t>H3</w:t>
            </w:r>
          </w:p>
          <w:p w14:paraId="13D7DC93" w14:textId="77777777" w:rsidR="0091539C" w:rsidRPr="0091539C" w:rsidRDefault="009C017D" w:rsidP="0091539C">
            <w:r>
              <w:t>Wieviel CO</w:t>
            </w:r>
            <w:r w:rsidRPr="009C017D">
              <w:rPr>
                <w:vertAlign w:val="subscript"/>
              </w:rPr>
              <w:t>2</w:t>
            </w:r>
            <w:r>
              <w:t xml:space="preserve"> bei der Verbrennung entsteht, erfahren wir aus den Verbrennungsgleichungen.</w:t>
            </w:r>
          </w:p>
        </w:tc>
        <w:tc>
          <w:tcPr>
            <w:tcW w:w="4529" w:type="dxa"/>
          </w:tcPr>
          <w:p w14:paraId="5B35A082" w14:textId="77777777" w:rsidR="009C017D" w:rsidRDefault="009C017D" w:rsidP="009C017D">
            <w:r>
              <w:t>L3</w:t>
            </w:r>
          </w:p>
          <w:p w14:paraId="335B8267" w14:textId="77777777" w:rsidR="009C017D" w:rsidRPr="0091539C" w:rsidRDefault="009C017D" w:rsidP="009C017D">
            <w:r w:rsidRPr="0091539C">
              <w:t>Für Erdgas bzw. Methan:</w:t>
            </w:r>
          </w:p>
          <w:p w14:paraId="58A687D4" w14:textId="77777777" w:rsidR="009C017D" w:rsidRPr="00DB4251" w:rsidRDefault="009C017D" w:rsidP="009C017D">
            <w:pPr>
              <w:rPr>
                <w:lang w:val="en-GB"/>
              </w:rPr>
            </w:pPr>
            <w:r w:rsidRPr="00DB4251">
              <w:rPr>
                <w:lang w:val="en-GB"/>
              </w:rPr>
              <w:t>CH</w:t>
            </w:r>
            <w:r w:rsidRPr="00DB4251">
              <w:rPr>
                <w:vertAlign w:val="subscript"/>
                <w:lang w:val="en-GB"/>
              </w:rPr>
              <w:t>4</w:t>
            </w:r>
            <w:r w:rsidRPr="00DB4251">
              <w:rPr>
                <w:lang w:val="en-GB"/>
              </w:rPr>
              <w:t xml:space="preserve"> + 2 O</w:t>
            </w:r>
            <w:r w:rsidRPr="00DB4251">
              <w:rPr>
                <w:vertAlign w:val="subscript"/>
                <w:lang w:val="en-GB"/>
              </w:rPr>
              <w:t>2</w:t>
            </w:r>
            <w:r w:rsidRPr="00DB4251">
              <w:rPr>
                <w:lang w:val="en-GB"/>
              </w:rPr>
              <w:t xml:space="preserve"> -&gt; CO</w:t>
            </w:r>
            <w:r w:rsidRPr="00DB4251">
              <w:rPr>
                <w:vertAlign w:val="subscript"/>
                <w:lang w:val="en-GB"/>
              </w:rPr>
              <w:t>2</w:t>
            </w:r>
            <w:r w:rsidRPr="00DB4251">
              <w:rPr>
                <w:lang w:val="en-GB"/>
              </w:rPr>
              <w:t xml:space="preserve"> + 2 H</w:t>
            </w:r>
            <w:r w:rsidRPr="00DB4251">
              <w:rPr>
                <w:vertAlign w:val="subscript"/>
                <w:lang w:val="en-GB"/>
              </w:rPr>
              <w:t>2</w:t>
            </w:r>
            <w:r w:rsidRPr="00DB4251">
              <w:rPr>
                <w:lang w:val="en-GB"/>
              </w:rPr>
              <w:t>O</w:t>
            </w:r>
          </w:p>
          <w:p w14:paraId="07B5A4C3" w14:textId="77777777" w:rsidR="009C017D" w:rsidRPr="00DB4251" w:rsidRDefault="009C017D" w:rsidP="009C017D">
            <w:pPr>
              <w:rPr>
                <w:lang w:val="en-GB"/>
              </w:rPr>
            </w:pPr>
          </w:p>
          <w:p w14:paraId="5E7E9106" w14:textId="77777777" w:rsidR="009C017D" w:rsidRPr="00DB4251" w:rsidRDefault="009C017D" w:rsidP="009C017D">
            <w:pPr>
              <w:rPr>
                <w:lang w:val="en-GB"/>
              </w:rPr>
            </w:pPr>
            <w:r w:rsidRPr="00DB4251">
              <w:rPr>
                <w:lang w:val="en-GB"/>
              </w:rPr>
              <w:t>Für „Heizöl“:</w:t>
            </w:r>
          </w:p>
          <w:p w14:paraId="388E7842" w14:textId="77777777" w:rsidR="009C017D" w:rsidRPr="00DB4251" w:rsidRDefault="009C017D" w:rsidP="009C017D">
            <w:pPr>
              <w:rPr>
                <w:lang w:val="en-GB"/>
              </w:rPr>
            </w:pPr>
            <w:r w:rsidRPr="00DB4251">
              <w:rPr>
                <w:lang w:val="en-GB"/>
              </w:rPr>
              <w:t>C</w:t>
            </w:r>
            <w:r w:rsidRPr="00DB4251">
              <w:rPr>
                <w:vertAlign w:val="subscript"/>
                <w:lang w:val="en-GB"/>
              </w:rPr>
              <w:t>20</w:t>
            </w:r>
            <w:r w:rsidRPr="00DB4251">
              <w:rPr>
                <w:lang w:val="en-GB"/>
              </w:rPr>
              <w:t>H</w:t>
            </w:r>
            <w:r w:rsidRPr="00DB4251">
              <w:rPr>
                <w:vertAlign w:val="subscript"/>
                <w:lang w:val="en-GB"/>
              </w:rPr>
              <w:t xml:space="preserve">42 </w:t>
            </w:r>
            <w:r w:rsidRPr="00DB4251">
              <w:rPr>
                <w:lang w:val="en-GB"/>
              </w:rPr>
              <w:t xml:space="preserve">+ </w:t>
            </w:r>
            <w:r w:rsidR="00942B53" w:rsidRPr="00DB4251">
              <w:rPr>
                <w:lang w:val="en-GB"/>
              </w:rPr>
              <w:t>30,5</w:t>
            </w:r>
            <w:r w:rsidRPr="00DB4251">
              <w:rPr>
                <w:lang w:val="en-GB"/>
              </w:rPr>
              <w:t xml:space="preserve"> O</w:t>
            </w:r>
            <w:r w:rsidRPr="00DB4251">
              <w:rPr>
                <w:vertAlign w:val="subscript"/>
                <w:lang w:val="en-GB"/>
              </w:rPr>
              <w:t>2</w:t>
            </w:r>
            <w:r w:rsidRPr="00DB4251">
              <w:rPr>
                <w:lang w:val="en-GB"/>
              </w:rPr>
              <w:t xml:space="preserve"> -&gt; 20 CO</w:t>
            </w:r>
            <w:r w:rsidRPr="00DB4251">
              <w:rPr>
                <w:vertAlign w:val="subscript"/>
                <w:lang w:val="en-GB"/>
              </w:rPr>
              <w:t>2</w:t>
            </w:r>
            <w:r w:rsidRPr="00DB4251">
              <w:rPr>
                <w:lang w:val="en-GB"/>
              </w:rPr>
              <w:t xml:space="preserve"> + 21 H</w:t>
            </w:r>
            <w:r w:rsidRPr="00DB4251">
              <w:rPr>
                <w:vertAlign w:val="subscript"/>
                <w:lang w:val="en-GB"/>
              </w:rPr>
              <w:t>2</w:t>
            </w:r>
            <w:r w:rsidRPr="00DB4251">
              <w:rPr>
                <w:lang w:val="en-GB"/>
              </w:rPr>
              <w:t>O</w:t>
            </w:r>
          </w:p>
          <w:p w14:paraId="4CA85717" w14:textId="77777777" w:rsidR="0091539C" w:rsidRPr="00DB4251" w:rsidRDefault="0091539C" w:rsidP="0091539C">
            <w:pPr>
              <w:rPr>
                <w:rFonts w:ascii="Symbol" w:hAnsi="Symbol"/>
                <w:lang w:val="en-GB"/>
              </w:rPr>
            </w:pPr>
          </w:p>
        </w:tc>
      </w:tr>
      <w:tr w:rsidR="0091539C" w:rsidRPr="0091539C" w14:paraId="25C21563" w14:textId="77777777" w:rsidTr="0091539C">
        <w:trPr>
          <w:gridAfter w:val="1"/>
          <w:wAfter w:w="9" w:type="dxa"/>
        </w:trPr>
        <w:tc>
          <w:tcPr>
            <w:tcW w:w="4534" w:type="dxa"/>
          </w:tcPr>
          <w:p w14:paraId="3BF7431D" w14:textId="77777777" w:rsidR="009C017D" w:rsidRDefault="009C017D" w:rsidP="0091539C">
            <w:r>
              <w:t>H4</w:t>
            </w:r>
          </w:p>
          <w:p w14:paraId="17D68448" w14:textId="77777777" w:rsidR="009C017D" w:rsidRDefault="009C017D" w:rsidP="0091539C">
            <w:r>
              <w:t>Für einen Vergleich müssen wir äquivalente Mengen der Brennstoffe betrachten.</w:t>
            </w:r>
          </w:p>
          <w:p w14:paraId="1B9D8258" w14:textId="77777777" w:rsidR="009C017D" w:rsidRDefault="009C017D" w:rsidP="0091539C"/>
          <w:p w14:paraId="049E28B0" w14:textId="77777777" w:rsidR="009C017D" w:rsidRDefault="009C017D" w:rsidP="0091539C">
            <w:r>
              <w:t xml:space="preserve">Was kann uns dabei helfen? </w:t>
            </w:r>
          </w:p>
          <w:p w14:paraId="428B9CB0" w14:textId="77777777" w:rsidR="0091539C" w:rsidRPr="0091539C" w:rsidRDefault="0091539C" w:rsidP="0091539C"/>
          <w:p w14:paraId="0106E0FC" w14:textId="77777777" w:rsidR="0091539C" w:rsidRPr="0091539C" w:rsidRDefault="0091539C" w:rsidP="0091539C"/>
        </w:tc>
        <w:tc>
          <w:tcPr>
            <w:tcW w:w="4529" w:type="dxa"/>
          </w:tcPr>
          <w:p w14:paraId="7FF1DD3D" w14:textId="77777777" w:rsidR="009C017D" w:rsidRDefault="009C017D" w:rsidP="0091539C">
            <w:r>
              <w:t>L</w:t>
            </w:r>
            <w:r w:rsidR="00220C3A">
              <w:t>4</w:t>
            </w:r>
          </w:p>
          <w:p w14:paraId="7CC1681E" w14:textId="77777777" w:rsidR="009C017D" w:rsidRDefault="009C017D" w:rsidP="0091539C">
            <w:r>
              <w:t xml:space="preserve">Um die Edukte vergleichen zu können, brauchen wir die </w:t>
            </w:r>
            <w:r w:rsidR="0091539C" w:rsidRPr="0091539C">
              <w:t>relativen Mol-Massen</w:t>
            </w:r>
            <w:r>
              <w:t>.</w:t>
            </w:r>
          </w:p>
          <w:p w14:paraId="22C42F20" w14:textId="77777777" w:rsidR="00220C3A" w:rsidRDefault="00220C3A" w:rsidP="0091539C"/>
          <w:p w14:paraId="5B50AB93" w14:textId="77777777" w:rsidR="009C017D" w:rsidRPr="0091539C" w:rsidRDefault="009C017D" w:rsidP="009C017D">
            <w:r w:rsidRPr="0091539C">
              <w:t>m</w:t>
            </w:r>
            <w:r w:rsidRPr="0091539C">
              <w:rPr>
                <w:vertAlign w:val="subscript"/>
              </w:rPr>
              <w:t xml:space="preserve">(CH4) </w:t>
            </w:r>
            <w:r w:rsidRPr="0091539C">
              <w:t>= 1x12 + 4x1 = 16</w:t>
            </w:r>
          </w:p>
          <w:p w14:paraId="40D31526" w14:textId="77777777" w:rsidR="009C017D" w:rsidRPr="0091539C" w:rsidRDefault="009C017D" w:rsidP="009C017D">
            <w:r w:rsidRPr="0091539C">
              <w:t xml:space="preserve"> </w:t>
            </w:r>
          </w:p>
          <w:p w14:paraId="7CDF181C" w14:textId="77777777" w:rsidR="009C017D" w:rsidRPr="0091539C" w:rsidRDefault="009C017D" w:rsidP="009C017D">
            <w:r w:rsidRPr="0091539C">
              <w:t>m</w:t>
            </w:r>
            <w:r w:rsidRPr="0091539C">
              <w:rPr>
                <w:vertAlign w:val="subscript"/>
              </w:rPr>
              <w:t xml:space="preserve">(C19H40) </w:t>
            </w:r>
            <w:r w:rsidRPr="0091539C">
              <w:t>= 20x12 + 42x1 = 282</w:t>
            </w:r>
          </w:p>
          <w:p w14:paraId="15ACEB0D" w14:textId="77777777" w:rsidR="0091539C" w:rsidRPr="0091539C" w:rsidRDefault="0091539C" w:rsidP="00220C3A"/>
        </w:tc>
      </w:tr>
      <w:tr w:rsidR="0091539C" w:rsidRPr="0091539C" w14:paraId="1321AC31" w14:textId="77777777" w:rsidTr="0091539C">
        <w:trPr>
          <w:gridAfter w:val="1"/>
          <w:wAfter w:w="9" w:type="dxa"/>
        </w:trPr>
        <w:tc>
          <w:tcPr>
            <w:tcW w:w="4534" w:type="dxa"/>
          </w:tcPr>
          <w:p w14:paraId="21BB2B44" w14:textId="77777777" w:rsidR="00220C3A" w:rsidRDefault="00220C3A" w:rsidP="009C017D">
            <w:r>
              <w:t>H5</w:t>
            </w:r>
          </w:p>
          <w:p w14:paraId="2477A14D" w14:textId="77777777" w:rsidR="00220C3A" w:rsidRDefault="00220C3A" w:rsidP="009C017D">
            <w:r>
              <w:t xml:space="preserve">Für eine Masseneinheit „Heizöl“ müssen wir </w:t>
            </w:r>
          </w:p>
          <w:p w14:paraId="1C73D965" w14:textId="77777777" w:rsidR="00220C3A" w:rsidRDefault="00220C3A" w:rsidP="009C017D">
            <w:r>
              <w:t xml:space="preserve">wegen </w:t>
            </w:r>
          </w:p>
          <w:p w14:paraId="2367CA0A" w14:textId="77777777" w:rsidR="00220C3A" w:rsidRDefault="00220C3A" w:rsidP="009C017D"/>
          <w:p w14:paraId="5FBEAD02" w14:textId="77777777" w:rsidR="009C017D" w:rsidRDefault="009C017D" w:rsidP="009C017D">
            <w:r w:rsidRPr="0091539C">
              <w:t xml:space="preserve">282 </w:t>
            </w:r>
            <w:r w:rsidR="00220C3A">
              <w:t xml:space="preserve"> =  16 x </w:t>
            </w:r>
            <w:r w:rsidRPr="0091539C">
              <w:t xml:space="preserve">17,6 </w:t>
            </w:r>
          </w:p>
          <w:p w14:paraId="31001B97" w14:textId="77777777" w:rsidR="00220C3A" w:rsidRDefault="00220C3A" w:rsidP="009C017D"/>
          <w:p w14:paraId="6C2F3EFA" w14:textId="77777777" w:rsidR="00220C3A" w:rsidRDefault="00220C3A" w:rsidP="009C017D">
            <w:r>
              <w:t>also 17,6 Einheiten Methan ansetzen.</w:t>
            </w:r>
          </w:p>
          <w:p w14:paraId="6B8FF5D4" w14:textId="77777777" w:rsidR="00220C3A" w:rsidRDefault="00220C3A" w:rsidP="009C017D"/>
          <w:p w14:paraId="0CD6AD58" w14:textId="77777777" w:rsidR="0091539C" w:rsidRPr="0091539C" w:rsidRDefault="00220C3A" w:rsidP="00220C3A">
            <w:r>
              <w:t>Was folgt daraus für die CO</w:t>
            </w:r>
            <w:r w:rsidRPr="00220C3A">
              <w:rPr>
                <w:vertAlign w:val="subscript"/>
              </w:rPr>
              <w:t>2</w:t>
            </w:r>
            <w:r>
              <w:t>-Bildung?</w:t>
            </w:r>
          </w:p>
        </w:tc>
        <w:tc>
          <w:tcPr>
            <w:tcW w:w="4529" w:type="dxa"/>
          </w:tcPr>
          <w:p w14:paraId="22C4CF07" w14:textId="77777777" w:rsidR="00220C3A" w:rsidRDefault="00220C3A" w:rsidP="00220C3A">
            <w:r>
              <w:t>L5</w:t>
            </w:r>
          </w:p>
          <w:p w14:paraId="73471303" w14:textId="77777777" w:rsidR="00220C3A" w:rsidRPr="0091539C" w:rsidRDefault="00220C3A" w:rsidP="00827734">
            <w:r>
              <w:t>Aus einer Masseneinheit „Heizöl“ entstehen bei der Verbrennung 20 Einheiten CO</w:t>
            </w:r>
            <w:r w:rsidRPr="00220C3A">
              <w:rPr>
                <w:vertAlign w:val="subscript"/>
              </w:rPr>
              <w:t>2</w:t>
            </w:r>
            <w:r>
              <w:rPr>
                <w:vertAlign w:val="subscript"/>
              </w:rPr>
              <w:t xml:space="preserve"> </w:t>
            </w:r>
            <w:r>
              <w:t>.</w:t>
            </w:r>
            <w:r>
              <w:br/>
              <w:t xml:space="preserve">Aus der äquivalenten Masse Methan entstehen </w:t>
            </w:r>
            <w:r w:rsidRPr="0091539C">
              <w:t xml:space="preserve">17,6 </w:t>
            </w:r>
            <w:r w:rsidR="00827734">
              <w:t>Einheiten</w:t>
            </w:r>
            <w:r w:rsidRPr="0091539C">
              <w:t xml:space="preserve"> CO</w:t>
            </w:r>
            <w:r w:rsidRPr="0091539C">
              <w:rPr>
                <w:vertAlign w:val="subscript"/>
              </w:rPr>
              <w:t xml:space="preserve">2 </w:t>
            </w:r>
          </w:p>
          <w:p w14:paraId="08B14145" w14:textId="77777777" w:rsidR="0091539C" w:rsidRPr="0091539C" w:rsidRDefault="0091539C" w:rsidP="00220C3A"/>
        </w:tc>
      </w:tr>
      <w:tr w:rsidR="0091539C" w:rsidRPr="00B469D8" w14:paraId="2593B231" w14:textId="77777777" w:rsidTr="0091539C">
        <w:tc>
          <w:tcPr>
            <w:tcW w:w="4534" w:type="dxa"/>
          </w:tcPr>
          <w:p w14:paraId="0DD78927" w14:textId="77777777" w:rsidR="0091539C" w:rsidRDefault="00827734" w:rsidP="0091539C">
            <w:r>
              <w:t xml:space="preserve">H6 </w:t>
            </w:r>
          </w:p>
          <w:p w14:paraId="20B55D3C" w14:textId="77777777" w:rsidR="00827734" w:rsidRDefault="00827734" w:rsidP="0091539C">
            <w:r>
              <w:t xml:space="preserve">Jetzt habt ihr alles zusammen, um die Frage beantworten zu können. </w:t>
            </w:r>
          </w:p>
          <w:p w14:paraId="68C685E2" w14:textId="77777777" w:rsidR="00827734" w:rsidRPr="0091539C" w:rsidRDefault="00827734" w:rsidP="0091539C">
            <w:r>
              <w:t>Formuliert eure Antwort in ein bis zwei Sätzen.</w:t>
            </w:r>
          </w:p>
        </w:tc>
        <w:tc>
          <w:tcPr>
            <w:tcW w:w="4538" w:type="dxa"/>
            <w:gridSpan w:val="2"/>
          </w:tcPr>
          <w:p w14:paraId="230B2D0F" w14:textId="77777777" w:rsidR="0091539C" w:rsidRDefault="00827734" w:rsidP="0091539C">
            <w:r>
              <w:t>L6</w:t>
            </w:r>
          </w:p>
          <w:p w14:paraId="7ECC58E2" w14:textId="77777777" w:rsidR="00907729" w:rsidRDefault="00B469D8" w:rsidP="0091539C">
            <w:r>
              <w:t>Zum Vergleich der CO</w:t>
            </w:r>
            <w:r w:rsidRPr="00B469D8">
              <w:rPr>
                <w:vertAlign w:val="subscript"/>
              </w:rPr>
              <w:t>2</w:t>
            </w:r>
            <w:r>
              <w:t>-Bildung bei der Verbrennung müssen wir von gleichen Massen der Brennstoff</w:t>
            </w:r>
            <w:r w:rsidR="00B36482">
              <w:t>e</w:t>
            </w:r>
            <w:r>
              <w:t xml:space="preserve"> ausgehen. Aus den relativen Molmassen für CH</w:t>
            </w:r>
            <w:r w:rsidRPr="00B469D8">
              <w:rPr>
                <w:vertAlign w:val="subscript"/>
              </w:rPr>
              <w:t>4</w:t>
            </w:r>
            <w:r>
              <w:t xml:space="preserve"> (16) und C</w:t>
            </w:r>
            <w:r w:rsidRPr="00F16F6C">
              <w:rPr>
                <w:vertAlign w:val="subscript"/>
              </w:rPr>
              <w:t>20</w:t>
            </w:r>
            <w:r w:rsidRPr="00F16F6C">
              <w:t>H</w:t>
            </w:r>
            <w:r w:rsidRPr="00F16F6C">
              <w:rPr>
                <w:vertAlign w:val="subscript"/>
              </w:rPr>
              <w:t>42</w:t>
            </w:r>
            <w:r>
              <w:rPr>
                <w:vertAlign w:val="subscript"/>
              </w:rPr>
              <w:t xml:space="preserve"> </w:t>
            </w:r>
            <w:r w:rsidRPr="00B469D8">
              <w:t>(</w:t>
            </w:r>
            <w:r>
              <w:t xml:space="preserve">282) ergibt sich, dass wir 17,6 Einheiten Methan mit einer Masseneinheit </w:t>
            </w:r>
            <w:r w:rsidR="00B36482" w:rsidRPr="00B36482">
              <w:t>C</w:t>
            </w:r>
            <w:r w:rsidR="00B36482" w:rsidRPr="00B36482">
              <w:rPr>
                <w:vertAlign w:val="subscript"/>
              </w:rPr>
              <w:t>20</w:t>
            </w:r>
            <w:r w:rsidR="00B36482" w:rsidRPr="00B36482">
              <w:t>H</w:t>
            </w:r>
            <w:r w:rsidR="00B36482" w:rsidRPr="00B36482">
              <w:rPr>
                <w:vertAlign w:val="subscript"/>
              </w:rPr>
              <w:t xml:space="preserve">42  </w:t>
            </w:r>
            <w:r>
              <w:t>vergleichen müssen.</w:t>
            </w:r>
          </w:p>
          <w:p w14:paraId="007ADE66" w14:textId="77777777" w:rsidR="00B469D8" w:rsidRDefault="00B36482" w:rsidP="0091539C">
            <w:r>
              <w:t>Bei der Verbrennung entstehen aus</w:t>
            </w:r>
          </w:p>
          <w:p w14:paraId="04B2B21F" w14:textId="77777777" w:rsidR="00B469D8" w:rsidRPr="00DB4251" w:rsidRDefault="00B469D8" w:rsidP="0091539C">
            <w:pPr>
              <w:rPr>
                <w:vertAlign w:val="subscript"/>
              </w:rPr>
            </w:pPr>
            <w:r w:rsidRPr="00DB4251">
              <w:t>1 x C</w:t>
            </w:r>
            <w:r w:rsidRPr="00DB4251">
              <w:rPr>
                <w:vertAlign w:val="subscript"/>
              </w:rPr>
              <w:t>20</w:t>
            </w:r>
            <w:r w:rsidRPr="00DB4251">
              <w:t>H</w:t>
            </w:r>
            <w:r w:rsidRPr="00DB4251">
              <w:rPr>
                <w:vertAlign w:val="subscript"/>
              </w:rPr>
              <w:t xml:space="preserve">42      </w:t>
            </w:r>
            <w:r>
              <w:rPr>
                <w:rFonts w:ascii="Symbol" w:hAnsi="Symbol"/>
              </w:rPr>
              <w:sym w:font="Symbol" w:char="F0AE"/>
            </w:r>
            <w:r>
              <w:rPr>
                <w:rFonts w:ascii="Symbol" w:hAnsi="Symbol"/>
              </w:rPr>
              <w:t xml:space="preserve"> </w:t>
            </w:r>
            <w:r w:rsidRPr="00DB4251">
              <w:t>20 CO</w:t>
            </w:r>
            <w:r w:rsidRPr="00DB4251">
              <w:rPr>
                <w:vertAlign w:val="subscript"/>
              </w:rPr>
              <w:t>2</w:t>
            </w:r>
          </w:p>
          <w:p w14:paraId="5667F22E" w14:textId="77777777" w:rsidR="00B469D8" w:rsidRPr="00DB4251" w:rsidRDefault="00B469D8" w:rsidP="0091539C">
            <w:pPr>
              <w:rPr>
                <w:vertAlign w:val="subscript"/>
              </w:rPr>
            </w:pPr>
            <w:r w:rsidRPr="00DB4251">
              <w:t xml:space="preserve">17,6 x CH4  </w:t>
            </w:r>
            <w:r>
              <w:rPr>
                <w:rFonts w:ascii="Symbol" w:hAnsi="Symbol"/>
              </w:rPr>
              <w:sym w:font="Symbol" w:char="F0AE"/>
            </w:r>
            <w:r>
              <w:rPr>
                <w:rFonts w:ascii="Symbol" w:hAnsi="Symbol"/>
              </w:rPr>
              <w:t xml:space="preserve"> 17,6 </w:t>
            </w:r>
            <w:r w:rsidRPr="00DB4251">
              <w:t>CO</w:t>
            </w:r>
            <w:r w:rsidRPr="00DB4251">
              <w:rPr>
                <w:vertAlign w:val="subscript"/>
              </w:rPr>
              <w:t>2</w:t>
            </w:r>
          </w:p>
          <w:p w14:paraId="6CC2A668" w14:textId="77777777" w:rsidR="00B469D8" w:rsidRPr="00DB4251" w:rsidRDefault="00B469D8" w:rsidP="0091539C">
            <w:pPr>
              <w:rPr>
                <w:vertAlign w:val="subscript"/>
              </w:rPr>
            </w:pPr>
          </w:p>
          <w:p w14:paraId="0276E09E" w14:textId="04F78BC9" w:rsidR="00B469D8" w:rsidRPr="00B469D8" w:rsidRDefault="00B469D8" w:rsidP="0091539C">
            <w:r w:rsidRPr="00B469D8">
              <w:t>Damit</w:t>
            </w:r>
            <w:r>
              <w:t xml:space="preserve"> </w:t>
            </w:r>
            <w:r w:rsidR="004E37AA">
              <w:t>und mit dem etwas höheren Heizwert von E</w:t>
            </w:r>
            <w:bookmarkStart w:id="0" w:name="_GoBack"/>
            <w:bookmarkEnd w:id="0"/>
            <w:r w:rsidR="004E37AA">
              <w:t xml:space="preserve">rdgas </w:t>
            </w:r>
            <w:r>
              <w:t xml:space="preserve">kann man den geringeren Ausstoß von klimaschädlichem </w:t>
            </w:r>
            <w:r w:rsidRPr="0091539C">
              <w:t>CO</w:t>
            </w:r>
            <w:r w:rsidRPr="0091539C">
              <w:rPr>
                <w:vertAlign w:val="subscript"/>
              </w:rPr>
              <w:t>2</w:t>
            </w:r>
            <w:r>
              <w:rPr>
                <w:vertAlign w:val="subscript"/>
              </w:rPr>
              <w:t xml:space="preserve"> </w:t>
            </w:r>
            <w:r>
              <w:t xml:space="preserve">bei </w:t>
            </w:r>
            <w:r w:rsidR="00B36482">
              <w:t>eine</w:t>
            </w:r>
            <w:r w:rsidR="00F75F54">
              <w:t>r</w:t>
            </w:r>
            <w:r w:rsidR="00B36482">
              <w:t xml:space="preserve"> Gas</w:t>
            </w:r>
            <w:r w:rsidR="00F75F54">
              <w:t xml:space="preserve">heizung </w:t>
            </w:r>
            <w:r w:rsidR="00B36482">
              <w:t>erklären.</w:t>
            </w:r>
          </w:p>
        </w:tc>
      </w:tr>
    </w:tbl>
    <w:p w14:paraId="2E27BC66" w14:textId="77777777" w:rsidR="0091539C" w:rsidRDefault="0091539C" w:rsidP="00AD57FA">
      <w:pPr>
        <w:rPr>
          <w:b/>
          <w:bCs/>
        </w:rPr>
      </w:pPr>
    </w:p>
    <w:p w14:paraId="4573612F" w14:textId="77777777" w:rsidR="00B36482" w:rsidRDefault="00B36482" w:rsidP="00AD57FA">
      <w:r w:rsidRPr="00B36482">
        <w:t>Die</w:t>
      </w:r>
      <w:r>
        <w:t xml:space="preserve"> Tabelleninhalte werden jetzt in die vorgesehenen Text-Lücken übertragen, das html-File wird gespeichert.</w:t>
      </w:r>
    </w:p>
    <w:p w14:paraId="76641087" w14:textId="77777777" w:rsidR="00F525AC" w:rsidRDefault="00B36482" w:rsidP="00AD57FA">
      <w:r>
        <w:t>Will man, wie bei den meisten Hilfen-Dateien realisiert, noch eine visuelle Kennung in den Kopf der</w:t>
      </w:r>
      <w:r w:rsidR="00F525AC">
        <w:t xml:space="preserve"> Hilfen-Fenster einfügen, dann muss ein passendes Bild mit Hilfe eines Base-64-Encoders in ein alphanumerisches Format gebracht werden (eine nähere Anleitung, auch zum Einbinden von kurzen Videos, findet sich hier  </w:t>
      </w:r>
      <w:hyperlink r:id="rId15" w:history="1">
        <w:r w:rsidR="00F525AC" w:rsidRPr="005979AA">
          <w:rPr>
            <w:rStyle w:val="Hyperlink"/>
          </w:rPr>
          <w:t>www.stäudel.de/UCh_AmH_im_SieSti-Format.html</w:t>
        </w:r>
      </w:hyperlink>
      <w:r w:rsidR="00F525AC">
        <w:t xml:space="preserve">). Das Ergebnis der Codierung fügt man im </w:t>
      </w:r>
      <w:r w:rsidR="00DE0448">
        <w:t>„</w:t>
      </w:r>
      <w:proofErr w:type="spellStart"/>
      <w:r w:rsidR="00DE0448">
        <w:t>body</w:t>
      </w:r>
      <w:proofErr w:type="spellEnd"/>
      <w:r w:rsidR="00DE0448">
        <w:t xml:space="preserve">“ </w:t>
      </w:r>
      <w:r w:rsidR="00F525AC">
        <w:t xml:space="preserve">der html-Datei </w:t>
      </w:r>
      <w:r w:rsidR="00DE0448">
        <w:t xml:space="preserve">in der 4. Zeile </w:t>
      </w:r>
      <w:r w:rsidR="00F525AC">
        <w:t>wie folgt ein:</w:t>
      </w:r>
    </w:p>
    <w:p w14:paraId="77DAFDAE" w14:textId="21BE44C7" w:rsidR="00DE0448" w:rsidRPr="00DB4251" w:rsidRDefault="002A0740" w:rsidP="00DE0448">
      <w:pPr>
        <w:ind w:left="567"/>
      </w:pPr>
      <w:r>
        <w:rPr>
          <w:noProof/>
        </w:rPr>
        <w:drawing>
          <wp:anchor distT="0" distB="0" distL="114300" distR="114300" simplePos="0" relativeHeight="251666432" behindDoc="0" locked="0" layoutInCell="1" allowOverlap="1" wp14:anchorId="0E6FC416" wp14:editId="6029AC8E">
            <wp:simplePos x="0" y="0"/>
            <wp:positionH relativeFrom="column">
              <wp:posOffset>4815205</wp:posOffset>
            </wp:positionH>
            <wp:positionV relativeFrom="paragraph">
              <wp:posOffset>1132840</wp:posOffset>
            </wp:positionV>
            <wp:extent cx="1283351" cy="1244851"/>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3351" cy="1244851"/>
                    </a:xfrm>
                    <a:prstGeom prst="rect">
                      <a:avLst/>
                    </a:prstGeom>
                  </pic:spPr>
                </pic:pic>
              </a:graphicData>
            </a:graphic>
            <wp14:sizeRelH relativeFrom="page">
              <wp14:pctWidth>0</wp14:pctWidth>
            </wp14:sizeRelH>
            <wp14:sizeRelV relativeFrom="page">
              <wp14:pctHeight>0</wp14:pctHeight>
            </wp14:sizeRelV>
          </wp:anchor>
        </w:drawing>
      </w:r>
      <w:r w:rsidR="00DE0448" w:rsidRPr="00F04323">
        <w:t>&lt;</w:t>
      </w:r>
      <w:proofErr w:type="spellStart"/>
      <w:r w:rsidR="00DE0448" w:rsidRPr="00F04323">
        <w:t>body</w:t>
      </w:r>
      <w:proofErr w:type="spellEnd"/>
      <w:r w:rsidR="00DE0448" w:rsidRPr="00F04323">
        <w:t>&gt;</w:t>
      </w:r>
      <w:r w:rsidR="00DE0448" w:rsidRPr="00F04323">
        <w:br/>
        <w:t xml:space="preserve">&lt;div </w:t>
      </w:r>
      <w:proofErr w:type="spellStart"/>
      <w:r w:rsidR="00DE0448" w:rsidRPr="00F04323">
        <w:t>id</w:t>
      </w:r>
      <w:proofErr w:type="spellEnd"/>
      <w:r w:rsidR="00DE0448" w:rsidRPr="00F04323">
        <w:t>="</w:t>
      </w:r>
      <w:proofErr w:type="spellStart"/>
      <w:r w:rsidR="00DE0448" w:rsidRPr="00F04323">
        <w:t>layout</w:t>
      </w:r>
      <w:proofErr w:type="spellEnd"/>
      <w:r w:rsidR="00DE0448" w:rsidRPr="00F04323">
        <w:t>"&gt;</w:t>
      </w:r>
      <w:r w:rsidR="00DE0448" w:rsidRPr="00F04323">
        <w:br/>
        <w:t xml:space="preserve">&lt;div </w:t>
      </w:r>
      <w:proofErr w:type="spellStart"/>
      <w:r w:rsidR="00DE0448" w:rsidRPr="00F04323">
        <w:t>id</w:t>
      </w:r>
      <w:proofErr w:type="spellEnd"/>
      <w:r w:rsidR="00DE0448" w:rsidRPr="00F04323">
        <w:t>="</w:t>
      </w:r>
      <w:proofErr w:type="spellStart"/>
      <w:r w:rsidR="00DE0448" w:rsidRPr="00F04323">
        <w:t>contentwrapper</w:t>
      </w:r>
      <w:proofErr w:type="spellEnd"/>
      <w:r w:rsidR="00DE0448" w:rsidRPr="00F04323">
        <w:t>"&gt;</w:t>
      </w:r>
      <w:r w:rsidR="00DE0448" w:rsidRPr="00F04323">
        <w:br/>
        <w:t xml:space="preserve">&lt;div </w:t>
      </w:r>
      <w:proofErr w:type="spellStart"/>
      <w:r w:rsidR="00DE0448" w:rsidRPr="00F04323">
        <w:t>id</w:t>
      </w:r>
      <w:proofErr w:type="spellEnd"/>
      <w:r w:rsidR="00DE0448" w:rsidRPr="00F04323">
        <w:t>="</w:t>
      </w:r>
      <w:proofErr w:type="spellStart"/>
      <w:r w:rsidR="00DE0448" w:rsidRPr="00F04323">
        <w:t>icon</w:t>
      </w:r>
      <w:proofErr w:type="spellEnd"/>
      <w:r w:rsidR="00DE0448" w:rsidRPr="00F04323">
        <w:t>"&gt;</w:t>
      </w:r>
      <w:r w:rsidR="00DE0448" w:rsidRPr="00F04323">
        <w:br/>
        <w:t>&lt;</w:t>
      </w:r>
      <w:proofErr w:type="spellStart"/>
      <w:r w:rsidR="00DE0448" w:rsidRPr="00F04323">
        <w:t>img</w:t>
      </w:r>
      <w:proofErr w:type="spellEnd"/>
      <w:r w:rsidR="00DE0448" w:rsidRPr="00F04323">
        <w:t xml:space="preserve"> </w:t>
      </w:r>
      <w:proofErr w:type="spellStart"/>
      <w:r w:rsidR="00DE0448" w:rsidRPr="00F04323">
        <w:t>src</w:t>
      </w:r>
      <w:proofErr w:type="spellEnd"/>
      <w:r w:rsidR="00DE0448" w:rsidRPr="00F04323">
        <w:t>="</w:t>
      </w:r>
      <w:proofErr w:type="spellStart"/>
      <w:r w:rsidR="00DE0448" w:rsidRPr="00F04323">
        <w:t>data:image</w:t>
      </w:r>
      <w:proofErr w:type="spellEnd"/>
      <w:r w:rsidR="00DE0448" w:rsidRPr="00F04323">
        <w:t>/jpeg;base64, ……………………..</w:t>
      </w:r>
      <w:r w:rsidR="00DE0448" w:rsidRPr="00F04323">
        <w:br/>
        <w:t xml:space="preserve">………………………. </w:t>
      </w:r>
      <w:r w:rsidR="00DE0448" w:rsidRPr="00DB4251">
        <w:t>" /&gt;&lt;/div&gt;</w:t>
      </w:r>
    </w:p>
    <w:p w14:paraId="2742F91E" w14:textId="154A4AEA" w:rsidR="00030F2D" w:rsidRDefault="00DE0448" w:rsidP="00AD57FA">
      <w:r w:rsidRPr="00DE0448">
        <w:t>Fertig. Jetzt wird die H</w:t>
      </w:r>
      <w:r>
        <w:t xml:space="preserve">ilfen-Datei auf einen Serverplatz hochgeladen und die Adresse wird ermittelt. Die </w:t>
      </w:r>
      <w:proofErr w:type="spellStart"/>
      <w:r>
        <w:t>url</w:t>
      </w:r>
      <w:proofErr w:type="spellEnd"/>
      <w:r>
        <w:t xml:space="preserve"> wird, wie weiter oben beschrieben in einen QR-Code </w:t>
      </w:r>
      <w:r w:rsidR="00030F2D">
        <w:t>umgesetzt, markiert durch ein eingefügtes „H“</w:t>
      </w:r>
      <w:r w:rsidR="00275658">
        <w:t>:</w:t>
      </w:r>
    </w:p>
    <w:p w14:paraId="4F5BC5F2" w14:textId="314E3E71" w:rsidR="00BC6584" w:rsidRDefault="00BC6584" w:rsidP="00AD57FA"/>
    <w:p w14:paraId="0EC5AAC9" w14:textId="1C360062" w:rsidR="00030F2D" w:rsidRPr="00DE0448" w:rsidRDefault="004E37AA" w:rsidP="00AD57FA">
      <w:r>
        <w:rPr>
          <w:noProof/>
        </w:rPr>
        <w:drawing>
          <wp:anchor distT="0" distB="0" distL="114300" distR="114300" simplePos="0" relativeHeight="251667456" behindDoc="0" locked="0" layoutInCell="1" allowOverlap="1" wp14:anchorId="662349EB" wp14:editId="72A6BAE9">
            <wp:simplePos x="0" y="0"/>
            <wp:positionH relativeFrom="column">
              <wp:posOffset>4815205</wp:posOffset>
            </wp:positionH>
            <wp:positionV relativeFrom="paragraph">
              <wp:posOffset>616585</wp:posOffset>
            </wp:positionV>
            <wp:extent cx="1283335" cy="1275696"/>
            <wp:effectExtent l="0" t="0" r="0" b="127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83335" cy="1275696"/>
                    </a:xfrm>
                    <a:prstGeom prst="rect">
                      <a:avLst/>
                    </a:prstGeom>
                  </pic:spPr>
                </pic:pic>
              </a:graphicData>
            </a:graphic>
            <wp14:sizeRelH relativeFrom="page">
              <wp14:pctWidth>0</wp14:pctWidth>
            </wp14:sizeRelH>
            <wp14:sizeRelV relativeFrom="page">
              <wp14:pctHeight>0</wp14:pctHeight>
            </wp14:sizeRelV>
          </wp:anchor>
        </w:drawing>
      </w:r>
      <w:r w:rsidR="00030F2D">
        <w:t>Der Link zur Musterlösung besteht aus der gleichen Adresse ergänzt durch die Sprunganweisung</w:t>
      </w:r>
      <w:r w:rsidR="002A0740">
        <w:t xml:space="preserve"> </w:t>
      </w:r>
      <w:r w:rsidR="00030F2D">
        <w:br/>
      </w:r>
      <w:r>
        <w:rPr>
          <w:color w:val="A6A6A6" w:themeColor="background1" w:themeShade="A6"/>
        </w:rPr>
        <w:tab/>
      </w:r>
      <w:r w:rsidR="00030F2D" w:rsidRPr="00030F2D">
        <w:rPr>
          <w:color w:val="A6A6A6" w:themeColor="background1" w:themeShade="A6"/>
        </w:rPr>
        <w:t>….</w:t>
      </w:r>
      <w:proofErr w:type="spellStart"/>
      <w:r w:rsidR="00030F2D" w:rsidRPr="00030F2D">
        <w:rPr>
          <w:color w:val="A6A6A6" w:themeColor="background1" w:themeShade="A6"/>
        </w:rPr>
        <w:t>html</w:t>
      </w:r>
      <w:r w:rsidR="00030F2D">
        <w:t>?step</w:t>
      </w:r>
      <w:proofErr w:type="spellEnd"/>
      <w:r w:rsidR="00030F2D">
        <w:t>=last</w:t>
      </w:r>
      <w:r w:rsidR="00030F2D">
        <w:br/>
        <w:t>Den daraus erzeugten QR-Code versieht man bei der Codierung mit einem „L“-Icon.</w:t>
      </w:r>
      <w:r w:rsidR="00030F2D">
        <w:br/>
        <w:t>Schließlich fügt man beide QR-Codes unten auf dem Arbeit</w:t>
      </w:r>
      <w:r w:rsidR="00275658">
        <w:t>s</w:t>
      </w:r>
      <w:r w:rsidR="00030F2D">
        <w:t xml:space="preserve">blatt – </w:t>
      </w:r>
      <w:r>
        <w:t>f</w:t>
      </w:r>
      <w:r w:rsidR="00030F2D">
        <w:t xml:space="preserve">ertig! </w:t>
      </w:r>
      <w:r>
        <w:br/>
        <w:t>Testlauf nicht vergessen!</w:t>
      </w:r>
    </w:p>
    <w:p w14:paraId="50359AA4" w14:textId="158904C6" w:rsidR="00F525AC" w:rsidRDefault="00F525AC" w:rsidP="00AD57FA"/>
    <w:p w14:paraId="29BD2FE3" w14:textId="77777777" w:rsidR="002A0740" w:rsidRPr="00DE0448" w:rsidRDefault="002A0740" w:rsidP="00AD57FA"/>
    <w:p w14:paraId="337A5334" w14:textId="77777777" w:rsidR="00330EB0" w:rsidRPr="00AD5C14" w:rsidRDefault="00F525AC">
      <w:pPr>
        <w:rPr>
          <w:b/>
          <w:bCs/>
        </w:rPr>
      </w:pPr>
      <w:r w:rsidRPr="00DE0448">
        <w:t xml:space="preserve"> </w:t>
      </w:r>
      <w:r w:rsidR="00330EB0" w:rsidRPr="00AD5C14">
        <w:rPr>
          <w:b/>
          <w:bCs/>
        </w:rPr>
        <w:t>Literatur</w:t>
      </w:r>
    </w:p>
    <w:p w14:paraId="76D6D29F" w14:textId="3F85C917" w:rsidR="00330EB0" w:rsidRDefault="00330EB0">
      <w:r>
        <w:t xml:space="preserve">[1] </w:t>
      </w:r>
      <w:hyperlink r:id="rId18" w:history="1">
        <w:r>
          <w:rPr>
            <w:rStyle w:val="Hyperlink"/>
          </w:rPr>
          <w:t>https://de.wikipedia.org/wiki/QR-Code</w:t>
        </w:r>
      </w:hyperlink>
      <w:r>
        <w:t xml:space="preserve"> </w:t>
      </w:r>
    </w:p>
    <w:p w14:paraId="0A803D0B" w14:textId="2600CA92" w:rsidR="00A7582E" w:rsidRDefault="00A7582E" w:rsidP="00A7582E">
      <w:r>
        <w:t xml:space="preserve">[2] Beispiel aus Cornelsen </w:t>
      </w:r>
      <w:proofErr w:type="spellStart"/>
      <w:r>
        <w:t>Experimenta</w:t>
      </w:r>
      <w:proofErr w:type="spellEnd"/>
      <w:r>
        <w:t>, Mechanik</w:t>
      </w:r>
    </w:p>
    <w:p w14:paraId="2A5B0AB6" w14:textId="76B5DC9B" w:rsidR="004E6532" w:rsidRDefault="00330EB0" w:rsidP="004E6532">
      <w:r w:rsidRPr="004E6532">
        <w:t>[</w:t>
      </w:r>
      <w:r w:rsidR="00A7582E">
        <w:t>3</w:t>
      </w:r>
      <w:r w:rsidRPr="004E6532">
        <w:t xml:space="preserve">] </w:t>
      </w:r>
      <w:r w:rsidR="004E6532" w:rsidRPr="004E6532">
        <w:t xml:space="preserve">Forschergruppe Universität Kassel: Schritt für Schritt zur Lösung. Differenzierung durch Aufgaben mit gestuften Lernhilfen. In: Unterricht Physik, 18. Jg., H. 99/100 (2007), S. 42 </w:t>
      </w:r>
      <w:r w:rsidR="004E6532">
        <w:t>–</w:t>
      </w:r>
      <w:r w:rsidR="004E6532" w:rsidRPr="004E6532">
        <w:t xml:space="preserve"> 45</w:t>
      </w:r>
    </w:p>
    <w:p w14:paraId="01B69FCB" w14:textId="39DD131B" w:rsidR="004E6532" w:rsidRPr="002C12DB" w:rsidRDefault="004E6532" w:rsidP="00A7582E">
      <w:pPr>
        <w:pStyle w:val="StandardWeb"/>
        <w:spacing w:before="0" w:beforeAutospacing="0" w:line="264" w:lineRule="atLeast"/>
        <w:rPr>
          <w:rFonts w:asciiTheme="minorHAnsi" w:eastAsiaTheme="minorHAnsi" w:hAnsiTheme="minorHAnsi" w:cstheme="minorBidi"/>
          <w:sz w:val="22"/>
          <w:szCs w:val="22"/>
          <w:lang w:eastAsia="en-US"/>
        </w:rPr>
      </w:pPr>
      <w:r>
        <w:t>[</w:t>
      </w:r>
      <w:r w:rsidR="00A7582E">
        <w:t>4</w:t>
      </w:r>
      <w:r>
        <w:t xml:space="preserve">] </w:t>
      </w:r>
      <w:r w:rsidRPr="002C12DB">
        <w:rPr>
          <w:rFonts w:asciiTheme="minorHAnsi" w:eastAsiaTheme="minorHAnsi" w:hAnsiTheme="minorHAnsi" w:cstheme="minorBidi"/>
          <w:sz w:val="22"/>
          <w:szCs w:val="22"/>
          <w:lang w:eastAsia="en-US"/>
        </w:rPr>
        <w:t xml:space="preserve">L. Stäudel, G. Franke-Braun, F. Schmidt-Weigand: Komplexität erhalten - auch in heterogenen Lerngruppen: Aufgaben mit gestuften Lernhilfen. In: </w:t>
      </w:r>
      <w:proofErr w:type="spellStart"/>
      <w:r w:rsidRPr="002C12DB">
        <w:rPr>
          <w:rFonts w:asciiTheme="minorHAnsi" w:eastAsiaTheme="minorHAnsi" w:hAnsiTheme="minorHAnsi" w:cstheme="minorBidi"/>
          <w:sz w:val="22"/>
          <w:szCs w:val="22"/>
          <w:lang w:eastAsia="en-US"/>
        </w:rPr>
        <w:t>Chemkon</w:t>
      </w:r>
      <w:proofErr w:type="spellEnd"/>
      <w:r w:rsidRPr="002C12DB">
        <w:rPr>
          <w:rFonts w:asciiTheme="minorHAnsi" w:eastAsiaTheme="minorHAnsi" w:hAnsiTheme="minorHAnsi" w:cstheme="minorBidi"/>
          <w:sz w:val="22"/>
          <w:szCs w:val="22"/>
          <w:lang w:eastAsia="en-US"/>
        </w:rPr>
        <w:t>, 14. Jg., H. 3/2007, S. 115 - 122</w:t>
      </w:r>
    </w:p>
    <w:p w14:paraId="561CE0A6" w14:textId="7132C2C1" w:rsidR="004E6532" w:rsidRDefault="004E6532" w:rsidP="004E6532">
      <w:r>
        <w:t>[</w:t>
      </w:r>
      <w:r w:rsidR="00FC4498">
        <w:t>5</w:t>
      </w:r>
      <w:r>
        <w:t xml:space="preserve">] </w:t>
      </w:r>
      <w:r w:rsidRPr="004E6532">
        <w:t xml:space="preserve">L. Stäudel, J. </w:t>
      </w:r>
      <w:proofErr w:type="spellStart"/>
      <w:r w:rsidRPr="004E6532">
        <w:t>Tiburski</w:t>
      </w:r>
      <w:proofErr w:type="spellEnd"/>
      <w:r w:rsidRPr="004E6532">
        <w:t xml:space="preserve">: Aufgaben via Tablet oder Smartphone. In: Unterricht Chemie, 25. Jh., H. 142 (2014), S. 42 </w:t>
      </w:r>
      <w:r w:rsidR="00B9456E">
        <w:t>–</w:t>
      </w:r>
      <w:r w:rsidRPr="004E6532">
        <w:t xml:space="preserve"> 48</w:t>
      </w:r>
    </w:p>
    <w:p w14:paraId="2CE31919" w14:textId="43665F0C" w:rsidR="00B9456E" w:rsidRDefault="00B9456E" w:rsidP="00B9456E">
      <w:r>
        <w:t>[</w:t>
      </w:r>
      <w:r w:rsidR="00FC4498">
        <w:t>6</w:t>
      </w:r>
      <w:r>
        <w:t>] L. Stäudel &amp; Mediahouse GmbH: Aufgaben mit gestuften Hilfen – Einführung. Medienportal der Siemens Stiftung (2017). (</w:t>
      </w:r>
      <w:hyperlink r:id="rId19" w:history="1">
        <w:r w:rsidR="008B6711" w:rsidRPr="00927FEB">
          <w:rPr>
            <w:rStyle w:val="Hyperlink"/>
          </w:rPr>
          <w:t>https://medienportal.siemens-stiftung.org/106293</w:t>
        </w:r>
      </w:hyperlink>
      <w:r>
        <w:t>)</w:t>
      </w:r>
    </w:p>
    <w:p w14:paraId="1F46A7EE" w14:textId="49592FCB" w:rsidR="008B6711" w:rsidRDefault="008B6711" w:rsidP="00B9456E">
      <w:r>
        <w:t>[</w:t>
      </w:r>
      <w:r w:rsidR="002A0740">
        <w:t>7</w:t>
      </w:r>
      <w:r>
        <w:t>] O</w:t>
      </w:r>
      <w:r w:rsidR="00D469DA">
        <w:t>.</w:t>
      </w:r>
      <w:r>
        <w:t xml:space="preserve"> </w:t>
      </w:r>
      <w:proofErr w:type="spellStart"/>
      <w:r>
        <w:t>Tepner</w:t>
      </w:r>
      <w:proofErr w:type="spellEnd"/>
      <w:r>
        <w:t>, B</w:t>
      </w:r>
      <w:r w:rsidR="00D469DA">
        <w:t>.</w:t>
      </w:r>
      <w:r>
        <w:t xml:space="preserve"> Roeder</w:t>
      </w:r>
      <w:r w:rsidR="00D469DA">
        <w:t xml:space="preserve">, </w:t>
      </w:r>
      <w:r>
        <w:t>I</w:t>
      </w:r>
      <w:r w:rsidR="00D469DA">
        <w:t>.</w:t>
      </w:r>
      <w:r>
        <w:t xml:space="preserve"> Melle</w:t>
      </w:r>
      <w:r w:rsidR="00D469DA">
        <w:t>:</w:t>
      </w:r>
      <w:r>
        <w:t xml:space="preserve"> Effektivität von Aufgaben im Chemieunterricht der Sekundarstufe I</w:t>
      </w:r>
      <w:r w:rsidR="00D469DA">
        <w:t xml:space="preserve">. In: </w:t>
      </w:r>
      <w:proofErr w:type="spellStart"/>
      <w:r w:rsidR="00D469DA">
        <w:t>ZfdN</w:t>
      </w:r>
      <w:proofErr w:type="spellEnd"/>
      <w:r w:rsidR="00D469DA">
        <w:t xml:space="preserve"> Jg. 16, 2010, S. 209 – 233 </w:t>
      </w:r>
    </w:p>
    <w:p w14:paraId="1C5737B1" w14:textId="77777777" w:rsidR="002A0740" w:rsidRDefault="002A0740" w:rsidP="00B9456E"/>
    <w:p w14:paraId="7BCD3FEA" w14:textId="2F098C46" w:rsidR="00120390" w:rsidRDefault="00030F2D" w:rsidP="00B9456E">
      <w:r>
        <w:t xml:space="preserve">Hinweis: Alle Materialien auf dem Medienportal der Siemens Stiftung sind OER-lizensiert, sie stehen unter der internationalen Lizenz </w:t>
      </w:r>
      <w:hyperlink r:id="rId20" w:tgtFrame="_blank" w:history="1">
        <w:r>
          <w:rPr>
            <w:rStyle w:val="Hyperlink"/>
            <w:rFonts w:ascii="Helvetica" w:hAnsi="Helvetica" w:cs="Helvetica"/>
            <w:color w:val="445121"/>
            <w:sz w:val="21"/>
            <w:szCs w:val="21"/>
          </w:rPr>
          <w:t>CC BY-SA 4.0</w:t>
        </w:r>
      </w:hyperlink>
      <w:r w:rsidR="00120390">
        <w:br/>
        <w:t xml:space="preserve">Alle Materialien auf meinen Webseiten </w:t>
      </w:r>
      <w:hyperlink r:id="rId21" w:history="1">
        <w:r w:rsidR="00120390" w:rsidRPr="005979AA">
          <w:rPr>
            <w:rStyle w:val="Hyperlink"/>
          </w:rPr>
          <w:t>http://www.stäudel.de/</w:t>
        </w:r>
      </w:hyperlink>
      <w:r w:rsidR="00120390">
        <w:t xml:space="preserve"> bzw. </w:t>
      </w:r>
      <w:hyperlink r:id="rId22" w:history="1">
        <w:r w:rsidR="00120390" w:rsidRPr="005979AA">
          <w:rPr>
            <w:rStyle w:val="Hyperlink"/>
          </w:rPr>
          <w:t>http://www.guteunterrichtspraxis-nw.org</w:t>
        </w:r>
      </w:hyperlink>
      <w:r w:rsidR="00120390">
        <w:t xml:space="preserve"> sind, soweit nicht anders gekennzeichnet, gemeinfrei. Nennung des Urhebers erbeten.</w:t>
      </w:r>
    </w:p>
    <w:p w14:paraId="0C19F111" w14:textId="77777777" w:rsidR="00942B53" w:rsidRDefault="00942B53" w:rsidP="00B9456E">
      <w:r>
        <w:t>Anmerkung: Die Wahl von C</w:t>
      </w:r>
      <w:r w:rsidRPr="00942B53">
        <w:rPr>
          <w:vertAlign w:val="subscript"/>
        </w:rPr>
        <w:t>20</w:t>
      </w:r>
      <w:r>
        <w:t>H</w:t>
      </w:r>
      <w:r w:rsidRPr="00942B53">
        <w:rPr>
          <w:vertAlign w:val="subscript"/>
        </w:rPr>
        <w:t>42</w:t>
      </w:r>
      <w:r>
        <w:rPr>
          <w:vertAlign w:val="subscript"/>
        </w:rPr>
        <w:t xml:space="preserve"> </w:t>
      </w:r>
      <w:r w:rsidRPr="00942B53">
        <w:t>als</w:t>
      </w:r>
      <w:r>
        <w:t xml:space="preserve"> Modellsubstanz für Heizöl hat pragmatische Gründe. Tatsächlich ist leichtes Heizöl ein Gemisch aus KW mit bis zu 25 C-Atomen, enthält teilweise aber auch kondensierte, ringförmige Bestandteile, deren Wasserstoffanteil noch geringer ist. Damit wird der</w:t>
      </w:r>
      <w:r w:rsidR="00B66FFC">
        <w:t xml:space="preserve"> Fehler der etwas zu langen Ketten wieder ausgeglichen.  </w:t>
      </w:r>
      <w:r>
        <w:t xml:space="preserve"> </w:t>
      </w:r>
    </w:p>
    <w:p w14:paraId="2A40A9BD" w14:textId="4CE4B4DB" w:rsidR="00330EB0" w:rsidRPr="009C67F2" w:rsidRDefault="00330EB0" w:rsidP="002A0740"/>
    <w:sectPr w:rsidR="00330EB0" w:rsidRPr="009C67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0A0"/>
    <w:multiLevelType w:val="hybridMultilevel"/>
    <w:tmpl w:val="DFC04C82"/>
    <w:lvl w:ilvl="0" w:tplc="7EB0A6DC">
      <w:start w:val="2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7A3708"/>
    <w:multiLevelType w:val="hybridMultilevel"/>
    <w:tmpl w:val="68C25C08"/>
    <w:lvl w:ilvl="0" w:tplc="E532312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3F4E45"/>
    <w:multiLevelType w:val="hybridMultilevel"/>
    <w:tmpl w:val="33A80F20"/>
    <w:lvl w:ilvl="0" w:tplc="1E02A2B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320F47"/>
    <w:multiLevelType w:val="hybridMultilevel"/>
    <w:tmpl w:val="80A4A744"/>
    <w:lvl w:ilvl="0" w:tplc="E470192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C7"/>
    <w:rsid w:val="00030F2D"/>
    <w:rsid w:val="00063D55"/>
    <w:rsid w:val="0007065C"/>
    <w:rsid w:val="000B05EC"/>
    <w:rsid w:val="000B2894"/>
    <w:rsid w:val="000D22BD"/>
    <w:rsid w:val="000E6F6E"/>
    <w:rsid w:val="00117678"/>
    <w:rsid w:val="00120390"/>
    <w:rsid w:val="00155F41"/>
    <w:rsid w:val="001800E2"/>
    <w:rsid w:val="00190616"/>
    <w:rsid w:val="001B2597"/>
    <w:rsid w:val="001B3C3F"/>
    <w:rsid w:val="002100A5"/>
    <w:rsid w:val="002124A7"/>
    <w:rsid w:val="00220C3A"/>
    <w:rsid w:val="00275658"/>
    <w:rsid w:val="002A0740"/>
    <w:rsid w:val="002A5EC8"/>
    <w:rsid w:val="002C12DB"/>
    <w:rsid w:val="002C1F04"/>
    <w:rsid w:val="002C66E3"/>
    <w:rsid w:val="0031188B"/>
    <w:rsid w:val="00330EB0"/>
    <w:rsid w:val="00365439"/>
    <w:rsid w:val="00371AEE"/>
    <w:rsid w:val="003D065B"/>
    <w:rsid w:val="003D68F1"/>
    <w:rsid w:val="003F7387"/>
    <w:rsid w:val="00403A8C"/>
    <w:rsid w:val="00415CD6"/>
    <w:rsid w:val="00422097"/>
    <w:rsid w:val="0048541E"/>
    <w:rsid w:val="004B02A4"/>
    <w:rsid w:val="004E37AA"/>
    <w:rsid w:val="004E6532"/>
    <w:rsid w:val="004F6B30"/>
    <w:rsid w:val="00524558"/>
    <w:rsid w:val="0053038A"/>
    <w:rsid w:val="00547B1A"/>
    <w:rsid w:val="00585654"/>
    <w:rsid w:val="0059334A"/>
    <w:rsid w:val="005D22BA"/>
    <w:rsid w:val="0060217A"/>
    <w:rsid w:val="0063150D"/>
    <w:rsid w:val="00687FC7"/>
    <w:rsid w:val="007252D6"/>
    <w:rsid w:val="007337BD"/>
    <w:rsid w:val="00766782"/>
    <w:rsid w:val="00790053"/>
    <w:rsid w:val="007A47F5"/>
    <w:rsid w:val="007D2855"/>
    <w:rsid w:val="007E02C1"/>
    <w:rsid w:val="00827734"/>
    <w:rsid w:val="00892522"/>
    <w:rsid w:val="008A596F"/>
    <w:rsid w:val="008B6711"/>
    <w:rsid w:val="00907729"/>
    <w:rsid w:val="0091539C"/>
    <w:rsid w:val="00942B53"/>
    <w:rsid w:val="00975EAD"/>
    <w:rsid w:val="009C017D"/>
    <w:rsid w:val="009C67F2"/>
    <w:rsid w:val="009D43CB"/>
    <w:rsid w:val="009E579A"/>
    <w:rsid w:val="009F3CED"/>
    <w:rsid w:val="00A7582E"/>
    <w:rsid w:val="00AB268D"/>
    <w:rsid w:val="00AD57FA"/>
    <w:rsid w:val="00AD5C14"/>
    <w:rsid w:val="00B13DE8"/>
    <w:rsid w:val="00B36482"/>
    <w:rsid w:val="00B469D8"/>
    <w:rsid w:val="00B46D24"/>
    <w:rsid w:val="00B64393"/>
    <w:rsid w:val="00B66FFC"/>
    <w:rsid w:val="00B9456E"/>
    <w:rsid w:val="00BA043D"/>
    <w:rsid w:val="00BA07B6"/>
    <w:rsid w:val="00BB1DA7"/>
    <w:rsid w:val="00BC6584"/>
    <w:rsid w:val="00BC6E8E"/>
    <w:rsid w:val="00BE3116"/>
    <w:rsid w:val="00C03B29"/>
    <w:rsid w:val="00C332FC"/>
    <w:rsid w:val="00C40385"/>
    <w:rsid w:val="00C60EAE"/>
    <w:rsid w:val="00C93FAB"/>
    <w:rsid w:val="00CE6E3A"/>
    <w:rsid w:val="00CF296A"/>
    <w:rsid w:val="00D00720"/>
    <w:rsid w:val="00D07E22"/>
    <w:rsid w:val="00D469DA"/>
    <w:rsid w:val="00DB4251"/>
    <w:rsid w:val="00DE0448"/>
    <w:rsid w:val="00DF6BBE"/>
    <w:rsid w:val="00E77A85"/>
    <w:rsid w:val="00E9453A"/>
    <w:rsid w:val="00F04323"/>
    <w:rsid w:val="00F16F6C"/>
    <w:rsid w:val="00F525AC"/>
    <w:rsid w:val="00F75F54"/>
    <w:rsid w:val="00F96DD8"/>
    <w:rsid w:val="00FB0C9B"/>
    <w:rsid w:val="00FB268A"/>
    <w:rsid w:val="00FC4498"/>
    <w:rsid w:val="00FD0CAB"/>
    <w:rsid w:val="00FE6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9E65"/>
  <w15:chartTrackingRefBased/>
  <w15:docId w15:val="{FCA43BBC-430D-421B-B762-C961ABFF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2597"/>
    <w:rPr>
      <w:color w:val="0000FF"/>
      <w:u w:val="single"/>
    </w:rPr>
  </w:style>
  <w:style w:type="paragraph" w:styleId="StandardWeb">
    <w:name w:val="Normal (Web)"/>
    <w:basedOn w:val="Standard"/>
    <w:uiPriority w:val="99"/>
    <w:unhideWhenUsed/>
    <w:rsid w:val="004E6532"/>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59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17A"/>
    <w:pPr>
      <w:ind w:left="720"/>
      <w:contextualSpacing/>
    </w:pPr>
  </w:style>
  <w:style w:type="character" w:styleId="NichtaufgelsteErwhnung">
    <w:name w:val="Unresolved Mention"/>
    <w:basedOn w:val="Absatz-Standardschriftart"/>
    <w:uiPriority w:val="99"/>
    <w:semiHidden/>
    <w:unhideWhenUsed/>
    <w:rsid w:val="00CE6E3A"/>
    <w:rPr>
      <w:color w:val="605E5C"/>
      <w:shd w:val="clear" w:color="auto" w:fill="E1DFDD"/>
    </w:rPr>
  </w:style>
  <w:style w:type="character" w:styleId="BesuchterLink">
    <w:name w:val="FollowedHyperlink"/>
    <w:basedOn w:val="Absatz-Standardschriftart"/>
    <w:uiPriority w:val="99"/>
    <w:semiHidden/>
    <w:unhideWhenUsed/>
    <w:rsid w:val="00CE6E3A"/>
    <w:rPr>
      <w:color w:val="954F72" w:themeColor="followedHyperlink"/>
      <w:u w:val="single"/>
    </w:rPr>
  </w:style>
  <w:style w:type="character" w:styleId="Kommentarzeichen">
    <w:name w:val="annotation reference"/>
    <w:basedOn w:val="Absatz-Standardschriftart"/>
    <w:uiPriority w:val="99"/>
    <w:semiHidden/>
    <w:unhideWhenUsed/>
    <w:rsid w:val="00DB4251"/>
    <w:rPr>
      <w:sz w:val="16"/>
      <w:szCs w:val="16"/>
    </w:rPr>
  </w:style>
  <w:style w:type="paragraph" w:styleId="Kommentartext">
    <w:name w:val="annotation text"/>
    <w:basedOn w:val="Standard"/>
    <w:link w:val="KommentartextZchn"/>
    <w:uiPriority w:val="99"/>
    <w:semiHidden/>
    <w:unhideWhenUsed/>
    <w:rsid w:val="00DB42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4251"/>
    <w:rPr>
      <w:sz w:val="20"/>
      <w:szCs w:val="20"/>
    </w:rPr>
  </w:style>
  <w:style w:type="paragraph" w:styleId="Kommentarthema">
    <w:name w:val="annotation subject"/>
    <w:basedOn w:val="Kommentartext"/>
    <w:next w:val="Kommentartext"/>
    <w:link w:val="KommentarthemaZchn"/>
    <w:uiPriority w:val="99"/>
    <w:semiHidden/>
    <w:unhideWhenUsed/>
    <w:rsid w:val="00DB4251"/>
    <w:rPr>
      <w:b/>
      <w:bCs/>
    </w:rPr>
  </w:style>
  <w:style w:type="character" w:customStyle="1" w:styleId="KommentarthemaZchn">
    <w:name w:val="Kommentarthema Zchn"/>
    <w:basedOn w:val="KommentartextZchn"/>
    <w:link w:val="Kommentarthema"/>
    <w:uiPriority w:val="99"/>
    <w:semiHidden/>
    <w:rsid w:val="00DB4251"/>
    <w:rPr>
      <w:b/>
      <w:bCs/>
      <w:sz w:val="20"/>
      <w:szCs w:val="20"/>
    </w:rPr>
  </w:style>
  <w:style w:type="paragraph" w:styleId="Sprechblasentext">
    <w:name w:val="Balloon Text"/>
    <w:basedOn w:val="Standard"/>
    <w:link w:val="SprechblasentextZchn"/>
    <w:uiPriority w:val="99"/>
    <w:semiHidden/>
    <w:unhideWhenUsed/>
    <w:rsid w:val="00DB42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4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923">
      <w:bodyDiv w:val="1"/>
      <w:marLeft w:val="0"/>
      <w:marRight w:val="0"/>
      <w:marTop w:val="0"/>
      <w:marBottom w:val="0"/>
      <w:divBdr>
        <w:top w:val="none" w:sz="0" w:space="0" w:color="auto"/>
        <w:left w:val="none" w:sz="0" w:space="0" w:color="auto"/>
        <w:bottom w:val="none" w:sz="0" w:space="0" w:color="auto"/>
        <w:right w:val="none" w:sz="0" w:space="0" w:color="auto"/>
      </w:divBdr>
      <w:divsChild>
        <w:div w:id="2138602661">
          <w:marLeft w:val="0"/>
          <w:marRight w:val="0"/>
          <w:marTop w:val="0"/>
          <w:marBottom w:val="0"/>
          <w:divBdr>
            <w:top w:val="none" w:sz="0" w:space="0" w:color="auto"/>
            <w:left w:val="none" w:sz="0" w:space="0" w:color="auto"/>
            <w:bottom w:val="none" w:sz="0" w:space="0" w:color="auto"/>
            <w:right w:val="none" w:sz="0" w:space="0" w:color="auto"/>
          </w:divBdr>
        </w:div>
      </w:divsChild>
    </w:div>
    <w:div w:id="877275865">
      <w:bodyDiv w:val="1"/>
      <w:marLeft w:val="0"/>
      <w:marRight w:val="0"/>
      <w:marTop w:val="0"/>
      <w:marBottom w:val="0"/>
      <w:divBdr>
        <w:top w:val="none" w:sz="0" w:space="0" w:color="auto"/>
        <w:left w:val="none" w:sz="0" w:space="0" w:color="auto"/>
        <w:bottom w:val="none" w:sz="0" w:space="0" w:color="auto"/>
        <w:right w:val="none" w:sz="0" w:space="0" w:color="auto"/>
      </w:divBdr>
    </w:div>
    <w:div w:id="16199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e64-image.de/" TargetMode="External"/><Relationship Id="rId13" Type="http://schemas.openxmlformats.org/officeDocument/2006/relationships/image" Target="media/image5.png"/><Relationship Id="rId18" Type="http://schemas.openxmlformats.org/officeDocument/2006/relationships/hyperlink" Target="https://de.wikipedia.org/wiki/QR-Code" TargetMode="External"/><Relationship Id="rId3" Type="http://schemas.openxmlformats.org/officeDocument/2006/relationships/settings" Target="settings.xml"/><Relationship Id="rId21" Type="http://schemas.openxmlformats.org/officeDocument/2006/relationships/hyperlink" Target="http://www.st&#228;udel.de/" TargetMode="External"/><Relationship Id="rId7" Type="http://schemas.openxmlformats.org/officeDocument/2006/relationships/hyperlink" Target="http://www.st&#228;udel.de/Masken.zip"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creativecommons.org/licenses/by-sa/4.0/legalcode.d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qrcode-monkey.com/de"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st&#228;udel.de/UCh_AmH_im_SieSti-Format.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medienportal.siemens-stiftung.org/106293" TargetMode="External"/><Relationship Id="rId4" Type="http://schemas.openxmlformats.org/officeDocument/2006/relationships/webSettings" Target="webSettings.xml"/><Relationship Id="rId9" Type="http://schemas.openxmlformats.org/officeDocument/2006/relationships/hyperlink" Target="https://base64.guru/" TargetMode="External"/><Relationship Id="rId14" Type="http://schemas.openxmlformats.org/officeDocument/2006/relationships/image" Target="media/image6.png"/><Relationship Id="rId22" Type="http://schemas.openxmlformats.org/officeDocument/2006/relationships/hyperlink" Target="http://www.guteunterrichtspraxis-nw.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1780</Words>
  <Characters>11220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staeudel</dc:creator>
  <cp:keywords/>
  <dc:description/>
  <cp:lastModifiedBy>lutz staeudel</cp:lastModifiedBy>
  <cp:revision>5</cp:revision>
  <dcterms:created xsi:type="dcterms:W3CDTF">2020-02-29T18:47:00Z</dcterms:created>
  <dcterms:modified xsi:type="dcterms:W3CDTF">2020-03-12T20:13:00Z</dcterms:modified>
</cp:coreProperties>
</file>