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ittleresRaster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66"/>
        <w:gridCol w:w="3005"/>
        <w:gridCol w:w="141"/>
        <w:gridCol w:w="284"/>
        <w:gridCol w:w="2044"/>
        <w:gridCol w:w="2151"/>
        <w:gridCol w:w="341"/>
        <w:gridCol w:w="2771"/>
      </w:tblGrid>
      <w:tr w:rsidR="000604B7" w:rsidRPr="00B32525" w:rsidTr="004D4789">
        <w:trPr>
          <w:cnfStyle w:val="100000000000"/>
        </w:trPr>
        <w:tc>
          <w:tcPr>
            <w:cnfStyle w:val="001000000000"/>
            <w:tcW w:w="3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2626" w:themeFill="text1" w:themeFillTint="D9"/>
            <w:vAlign w:val="center"/>
          </w:tcPr>
          <w:p w:rsidR="000604B7" w:rsidRPr="00B32525" w:rsidRDefault="000604B7">
            <w:pPr>
              <w:rPr>
                <w:sz w:val="44"/>
                <w:lang w:val="de-DE"/>
              </w:rPr>
            </w:pPr>
            <w:r w:rsidRPr="00B32525">
              <w:rPr>
                <w:sz w:val="44"/>
                <w:lang w:val="de-DE"/>
              </w:rPr>
              <w:t>Dimensionen</w:t>
            </w:r>
          </w:p>
          <w:p w:rsidR="00B07830" w:rsidRPr="00B32525" w:rsidRDefault="00B07830">
            <w:pPr>
              <w:rPr>
                <w:sz w:val="44"/>
                <w:lang w:val="de-DE"/>
              </w:rPr>
            </w:pPr>
          </w:p>
        </w:tc>
        <w:tc>
          <w:tcPr>
            <w:tcW w:w="1073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2626" w:themeFill="text1" w:themeFillTint="D9"/>
          </w:tcPr>
          <w:p w:rsidR="000604B7" w:rsidRPr="00B32525" w:rsidRDefault="002A3EFB" w:rsidP="000604B7">
            <w:pPr>
              <w:jc w:val="center"/>
              <w:cnfStyle w:val="100000000000"/>
              <w:rPr>
                <w:sz w:val="44"/>
                <w:lang w:val="de-DE"/>
              </w:rPr>
            </w:pPr>
            <w:r w:rsidRPr="002A3EF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8.85pt;margin-top:8.35pt;width:89.75pt;height:508.05pt;z-index:251660288;mso-position-horizontal-relative:text;mso-position-vertical-relative:text;mso-width-relative:margin;mso-height-relative:margin" stroked="f">
                  <v:textbox style="layout-flow:vertical;mso-layout-flow-alt:bottom-to-top;mso-next-textbox:#_x0000_s1026">
                    <w:txbxContent>
                      <w:p w:rsidR="00B32525" w:rsidRPr="001E12B6" w:rsidRDefault="00DE0CF7" w:rsidP="00DE0CF7">
                        <w:pPr>
                          <w:autoSpaceDE w:val="0"/>
                          <w:autoSpaceDN w:val="0"/>
                          <w:adjustRightInd w:val="0"/>
                          <w:cnfStyle w:val="100000000000"/>
                          <w:rPr>
                            <w:rFonts w:cstheme="minorHAnsi"/>
                            <w:sz w:val="18"/>
                            <w:szCs w:val="18"/>
                            <w:lang w:val="de-DE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 xml:space="preserve">Quelle: </w:t>
                        </w:r>
                        <w:r w:rsidR="004D4789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>L.</w:t>
                        </w:r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 xml:space="preserve"> </w:t>
                        </w:r>
                        <w:proofErr w:type="spellStart"/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>Stäudel</w:t>
                        </w:r>
                        <w:proofErr w:type="spellEnd"/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>, T</w:t>
                        </w:r>
                        <w:r w:rsidR="004D4789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>.</w:t>
                        </w:r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 xml:space="preserve"> Bohl, S</w:t>
                        </w:r>
                        <w:r w:rsidR="004D4789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>.</w:t>
                        </w:r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 xml:space="preserve"> Merk</w:t>
                        </w:r>
                        <w:r w:rsidR="004D4789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 xml:space="preserve">, </w:t>
                        </w:r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>M</w:t>
                        </w:r>
                        <w:r w:rsidR="004D4789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>.</w:t>
                        </w:r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 xml:space="preserve"> Rehm: 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br/>
                        </w:r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>Aufgaben im naturwissenschaftlichen Unterricht</w:t>
                        </w:r>
                        <w:r w:rsid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 xml:space="preserve">. 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 xml:space="preserve"> </w:t>
                        </w:r>
                        <w:r w:rsid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 xml:space="preserve">In: </w:t>
                        </w:r>
                        <w:proofErr w:type="spellStart"/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>journal</w:t>
                        </w:r>
                        <w:proofErr w:type="spellEnd"/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 xml:space="preserve"> für </w:t>
                        </w:r>
                        <w:proofErr w:type="spellStart"/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>lehrerinnen</w:t>
                        </w:r>
                        <w:proofErr w:type="spellEnd"/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 xml:space="preserve">- und </w:t>
                        </w:r>
                        <w:proofErr w:type="spellStart"/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>lehrerbildung</w:t>
                        </w:r>
                        <w:proofErr w:type="spellEnd"/>
                        <w:r w:rsidR="001E12B6" w:rsidRPr="001E12B6">
                          <w:rPr>
                            <w:rFonts w:cstheme="minorHAnsi"/>
                            <w:sz w:val="18"/>
                            <w:szCs w:val="18"/>
                            <w:lang w:val="de-DE" w:bidi="ar-SA"/>
                          </w:rPr>
                          <w:t xml:space="preserve"> 1/2012</w:t>
                        </w:r>
                      </w:p>
                    </w:txbxContent>
                  </v:textbox>
                </v:shape>
              </w:pict>
            </w:r>
            <w:r w:rsidR="000604B7" w:rsidRPr="00B32525">
              <w:rPr>
                <w:sz w:val="44"/>
                <w:lang w:val="de-DE"/>
              </w:rPr>
              <w:t>Ausprägungen</w:t>
            </w:r>
          </w:p>
        </w:tc>
      </w:tr>
      <w:tr w:rsidR="00790196" w:rsidRPr="00B32525" w:rsidTr="007931CD">
        <w:trPr>
          <w:cnfStyle w:val="000000100000"/>
        </w:trPr>
        <w:tc>
          <w:tcPr>
            <w:cnfStyle w:val="001000000000"/>
            <w:tcW w:w="3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07830" w:rsidRPr="00B32525" w:rsidRDefault="00B07830">
            <w:pPr>
              <w:rPr>
                <w:color w:val="auto"/>
                <w:sz w:val="36"/>
                <w:lang w:val="de-DE"/>
              </w:rPr>
            </w:pPr>
          </w:p>
          <w:p w:rsidR="000604B7" w:rsidRPr="00B32525" w:rsidRDefault="000604B7">
            <w:pPr>
              <w:rPr>
                <w:color w:val="auto"/>
                <w:sz w:val="36"/>
                <w:lang w:val="de-DE"/>
              </w:rPr>
            </w:pPr>
            <w:r w:rsidRPr="00B32525">
              <w:rPr>
                <w:color w:val="auto"/>
                <w:sz w:val="36"/>
                <w:lang w:val="de-DE"/>
              </w:rPr>
              <w:t>Wissensart</w:t>
            </w:r>
          </w:p>
          <w:p w:rsidR="00B07830" w:rsidRPr="00B32525" w:rsidRDefault="00B07830">
            <w:pPr>
              <w:rPr>
                <w:color w:val="auto"/>
                <w:sz w:val="36"/>
                <w:lang w:val="de-DE"/>
              </w:rPr>
            </w:pPr>
          </w:p>
        </w:tc>
        <w:tc>
          <w:tcPr>
            <w:tcW w:w="31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>
            <w:pPr>
              <w:cnfStyle w:val="000000100000"/>
              <w:rPr>
                <w:sz w:val="36"/>
                <w:lang w:val="de-DE"/>
              </w:rPr>
            </w:pPr>
          </w:p>
          <w:p w:rsidR="000604B7" w:rsidRPr="00B32525" w:rsidRDefault="004D4789">
            <w:pPr>
              <w:cnfStyle w:val="000000100000"/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 xml:space="preserve"> </w:t>
            </w:r>
            <w:r w:rsidR="000604B7" w:rsidRPr="00B32525">
              <w:rPr>
                <w:sz w:val="36"/>
                <w:lang w:val="de-DE"/>
              </w:rPr>
              <w:t>Fakten</w:t>
            </w:r>
          </w:p>
          <w:p w:rsidR="00B07830" w:rsidRPr="00B32525" w:rsidRDefault="00B07830">
            <w:pPr>
              <w:cnfStyle w:val="000000100000"/>
              <w:rPr>
                <w:sz w:val="36"/>
                <w:lang w:val="de-DE"/>
              </w:rPr>
            </w:pPr>
          </w:p>
        </w:tc>
        <w:tc>
          <w:tcPr>
            <w:tcW w:w="23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 w:rsidP="00790196">
            <w:pPr>
              <w:jc w:val="center"/>
              <w:cnfStyle w:val="000000100000"/>
              <w:rPr>
                <w:sz w:val="36"/>
                <w:lang w:val="de-DE"/>
              </w:rPr>
            </w:pPr>
          </w:p>
          <w:p w:rsidR="000604B7" w:rsidRPr="00B32525" w:rsidRDefault="0059696D" w:rsidP="007931CD">
            <w:pPr>
              <w:cnfStyle w:val="0000001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Prozeduren</w:t>
            </w:r>
          </w:p>
        </w:tc>
        <w:tc>
          <w:tcPr>
            <w:tcW w:w="249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 w:rsidP="00790196">
            <w:pPr>
              <w:jc w:val="center"/>
              <w:cnfStyle w:val="000000100000"/>
              <w:rPr>
                <w:sz w:val="36"/>
                <w:lang w:val="de-DE"/>
              </w:rPr>
            </w:pPr>
          </w:p>
          <w:p w:rsidR="000604B7" w:rsidRPr="00B32525" w:rsidRDefault="0059696D" w:rsidP="00790196">
            <w:pPr>
              <w:jc w:val="center"/>
              <w:cnfStyle w:val="0000001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Konzepte</w:t>
            </w:r>
          </w:p>
        </w:tc>
        <w:tc>
          <w:tcPr>
            <w:tcW w:w="2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 w:rsidP="00790196">
            <w:pPr>
              <w:jc w:val="right"/>
              <w:cnfStyle w:val="000000100000"/>
              <w:rPr>
                <w:sz w:val="36"/>
                <w:lang w:val="de-DE"/>
              </w:rPr>
            </w:pPr>
          </w:p>
          <w:p w:rsidR="000604B7" w:rsidRPr="00B32525" w:rsidRDefault="0059696D" w:rsidP="00790196">
            <w:pPr>
              <w:jc w:val="right"/>
              <w:cnfStyle w:val="0000001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Metakognition</w:t>
            </w:r>
            <w:r w:rsidR="001E12B6">
              <w:rPr>
                <w:sz w:val="36"/>
                <w:lang w:val="de-DE"/>
              </w:rPr>
              <w:t> </w:t>
            </w:r>
          </w:p>
        </w:tc>
      </w:tr>
      <w:tr w:rsidR="0059696D" w:rsidRPr="00B32525" w:rsidTr="004D4789">
        <w:tc>
          <w:tcPr>
            <w:cnfStyle w:val="001000000000"/>
            <w:tcW w:w="3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07830" w:rsidRPr="00B32525" w:rsidRDefault="00B07830">
            <w:pPr>
              <w:rPr>
                <w:color w:val="auto"/>
                <w:sz w:val="36"/>
                <w:lang w:val="de-DE"/>
              </w:rPr>
            </w:pPr>
          </w:p>
          <w:p w:rsidR="000604B7" w:rsidRPr="00B32525" w:rsidRDefault="00B07830">
            <w:pPr>
              <w:rPr>
                <w:color w:val="auto"/>
                <w:sz w:val="36"/>
                <w:lang w:val="de-DE"/>
              </w:rPr>
            </w:pPr>
            <w:r w:rsidRPr="00B32525">
              <w:rPr>
                <w:color w:val="auto"/>
                <w:sz w:val="36"/>
                <w:lang w:val="de-DE"/>
              </w:rPr>
              <w:t>Kogni</w:t>
            </w:r>
            <w:r w:rsidR="000604B7" w:rsidRPr="00B32525">
              <w:rPr>
                <w:color w:val="auto"/>
                <w:sz w:val="36"/>
                <w:lang w:val="de-DE"/>
              </w:rPr>
              <w:t>tiver Prozess</w:t>
            </w:r>
          </w:p>
          <w:p w:rsidR="000604B7" w:rsidRPr="00B32525" w:rsidRDefault="000604B7">
            <w:pPr>
              <w:rPr>
                <w:color w:val="auto"/>
                <w:sz w:val="36"/>
                <w:lang w:val="de-DE"/>
              </w:rPr>
            </w:pPr>
          </w:p>
        </w:tc>
        <w:tc>
          <w:tcPr>
            <w:tcW w:w="3430" w:type="dxa"/>
            <w:gridSpan w:val="3"/>
          </w:tcPr>
          <w:p w:rsidR="00B07830" w:rsidRPr="00B32525" w:rsidRDefault="00B07830">
            <w:pPr>
              <w:cnfStyle w:val="000000000000"/>
              <w:rPr>
                <w:sz w:val="36"/>
                <w:lang w:val="de-DE"/>
              </w:rPr>
            </w:pPr>
          </w:p>
          <w:p w:rsidR="000604B7" w:rsidRPr="00B32525" w:rsidRDefault="004D4789">
            <w:pPr>
              <w:cnfStyle w:val="000000000000"/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 xml:space="preserve"> </w:t>
            </w:r>
            <w:r w:rsidR="000604B7" w:rsidRPr="00B32525">
              <w:rPr>
                <w:sz w:val="36"/>
                <w:lang w:val="de-DE"/>
              </w:rPr>
              <w:t>Reproduktion</w:t>
            </w:r>
          </w:p>
        </w:tc>
        <w:tc>
          <w:tcPr>
            <w:tcW w:w="2044" w:type="dxa"/>
            <w:vAlign w:val="center"/>
          </w:tcPr>
          <w:p w:rsidR="000604B7" w:rsidRPr="00B32525" w:rsidRDefault="007931CD" w:rsidP="007931CD">
            <w:pPr>
              <w:cnfStyle w:val="000000000000"/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 xml:space="preserve">  </w:t>
            </w:r>
            <w:r w:rsidR="0059696D" w:rsidRPr="00B32525">
              <w:rPr>
                <w:sz w:val="36"/>
                <w:lang w:val="de-DE"/>
              </w:rPr>
              <w:t xml:space="preserve">naher </w:t>
            </w:r>
            <w:r w:rsidR="0059696D" w:rsidRPr="00B32525">
              <w:rPr>
                <w:sz w:val="36"/>
                <w:lang w:val="de-DE"/>
              </w:rPr>
              <w:br/>
              <w:t>Transfer</w:t>
            </w:r>
          </w:p>
        </w:tc>
        <w:tc>
          <w:tcPr>
            <w:tcW w:w="2151" w:type="dxa"/>
            <w:vAlign w:val="center"/>
          </w:tcPr>
          <w:p w:rsidR="000604B7" w:rsidRPr="00B32525" w:rsidRDefault="0059696D" w:rsidP="004D4789">
            <w:pPr>
              <w:jc w:val="center"/>
              <w:cnfStyle w:val="0000000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weiter Transfer</w:t>
            </w:r>
          </w:p>
        </w:tc>
        <w:tc>
          <w:tcPr>
            <w:tcW w:w="3112" w:type="dxa"/>
            <w:gridSpan w:val="2"/>
          </w:tcPr>
          <w:p w:rsidR="00B07830" w:rsidRPr="00B32525" w:rsidRDefault="00B07830" w:rsidP="00790196">
            <w:pPr>
              <w:jc w:val="right"/>
              <w:cnfStyle w:val="000000000000"/>
              <w:rPr>
                <w:sz w:val="36"/>
                <w:lang w:val="de-DE"/>
              </w:rPr>
            </w:pPr>
          </w:p>
          <w:p w:rsidR="000604B7" w:rsidRPr="00B32525" w:rsidRDefault="0059696D" w:rsidP="00790196">
            <w:pPr>
              <w:jc w:val="right"/>
              <w:cnfStyle w:val="0000000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Problemlösen</w:t>
            </w:r>
            <w:r w:rsidR="001E12B6">
              <w:rPr>
                <w:sz w:val="36"/>
                <w:lang w:val="de-DE"/>
              </w:rPr>
              <w:t> </w:t>
            </w:r>
          </w:p>
        </w:tc>
      </w:tr>
      <w:tr w:rsidR="00790196" w:rsidRPr="00B32525" w:rsidTr="004D4789">
        <w:trPr>
          <w:cnfStyle w:val="000000100000"/>
        </w:trPr>
        <w:tc>
          <w:tcPr>
            <w:cnfStyle w:val="001000000000"/>
            <w:tcW w:w="3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07830" w:rsidRPr="00B32525" w:rsidRDefault="00B07830">
            <w:pPr>
              <w:rPr>
                <w:color w:val="auto"/>
                <w:sz w:val="36"/>
                <w:lang w:val="de-DE"/>
              </w:rPr>
            </w:pPr>
          </w:p>
          <w:p w:rsidR="00790196" w:rsidRPr="00B32525" w:rsidRDefault="00790196" w:rsidP="00B07830">
            <w:pPr>
              <w:rPr>
                <w:color w:val="auto"/>
                <w:sz w:val="36"/>
                <w:lang w:val="de-DE"/>
              </w:rPr>
            </w:pPr>
            <w:r w:rsidRPr="00B32525">
              <w:rPr>
                <w:color w:val="auto"/>
                <w:sz w:val="36"/>
                <w:lang w:val="de-DE"/>
              </w:rPr>
              <w:t>Wissenseinheiten</w:t>
            </w:r>
            <w:r w:rsidR="00B07830" w:rsidRPr="00B32525">
              <w:rPr>
                <w:color w:val="auto"/>
                <w:sz w:val="36"/>
                <w:lang w:val="de-DE"/>
              </w:rPr>
              <w:br/>
            </w:r>
          </w:p>
        </w:tc>
        <w:tc>
          <w:tcPr>
            <w:tcW w:w="343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>
            <w:pPr>
              <w:cnfStyle w:val="000000100000"/>
              <w:rPr>
                <w:sz w:val="36"/>
                <w:lang w:val="de-DE"/>
              </w:rPr>
            </w:pPr>
          </w:p>
          <w:p w:rsidR="00790196" w:rsidRPr="00B32525" w:rsidRDefault="004D4789" w:rsidP="00B32525">
            <w:pPr>
              <w:tabs>
                <w:tab w:val="center" w:pos="1532"/>
              </w:tabs>
              <w:cnfStyle w:val="000000100000"/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 xml:space="preserve"> </w:t>
            </w:r>
            <w:r w:rsidR="00790196" w:rsidRPr="00B32525">
              <w:rPr>
                <w:sz w:val="36"/>
                <w:lang w:val="de-DE"/>
              </w:rPr>
              <w:t>eine WE</w:t>
            </w:r>
          </w:p>
        </w:tc>
        <w:tc>
          <w:tcPr>
            <w:tcW w:w="419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 w:rsidP="00790196">
            <w:pPr>
              <w:jc w:val="center"/>
              <w:cnfStyle w:val="000000100000"/>
              <w:rPr>
                <w:sz w:val="36"/>
                <w:lang w:val="de-DE"/>
              </w:rPr>
            </w:pPr>
          </w:p>
          <w:p w:rsidR="00790196" w:rsidRPr="00B32525" w:rsidRDefault="00790196" w:rsidP="00790196">
            <w:pPr>
              <w:jc w:val="center"/>
              <w:cnfStyle w:val="0000001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bis zu 4 WE</w:t>
            </w:r>
          </w:p>
        </w:tc>
        <w:tc>
          <w:tcPr>
            <w:tcW w:w="31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 w:rsidP="00790196">
            <w:pPr>
              <w:jc w:val="right"/>
              <w:cnfStyle w:val="000000100000"/>
              <w:rPr>
                <w:sz w:val="36"/>
                <w:lang w:val="de-DE"/>
              </w:rPr>
            </w:pPr>
          </w:p>
          <w:p w:rsidR="00790196" w:rsidRPr="00B32525" w:rsidRDefault="00790196" w:rsidP="00790196">
            <w:pPr>
              <w:jc w:val="right"/>
              <w:cnfStyle w:val="0000001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mehr als 4 WE</w:t>
            </w:r>
            <w:r w:rsidR="001E12B6">
              <w:rPr>
                <w:sz w:val="36"/>
                <w:lang w:val="de-DE"/>
              </w:rPr>
              <w:t> </w:t>
            </w:r>
          </w:p>
        </w:tc>
      </w:tr>
      <w:tr w:rsidR="00790196" w:rsidRPr="00B32525" w:rsidTr="004D4789">
        <w:tc>
          <w:tcPr>
            <w:cnfStyle w:val="001000000000"/>
            <w:tcW w:w="3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07830" w:rsidRPr="00B32525" w:rsidRDefault="00B07830">
            <w:pPr>
              <w:rPr>
                <w:color w:val="auto"/>
                <w:sz w:val="36"/>
                <w:lang w:val="de-DE"/>
              </w:rPr>
            </w:pPr>
          </w:p>
          <w:p w:rsidR="00790196" w:rsidRPr="00B32525" w:rsidRDefault="00790196" w:rsidP="00B07830">
            <w:pPr>
              <w:rPr>
                <w:color w:val="auto"/>
                <w:sz w:val="36"/>
                <w:lang w:val="de-DE"/>
              </w:rPr>
            </w:pPr>
            <w:r w:rsidRPr="00B32525">
              <w:rPr>
                <w:color w:val="auto"/>
                <w:sz w:val="36"/>
                <w:lang w:val="de-DE"/>
              </w:rPr>
              <w:t>Offenheit</w:t>
            </w:r>
            <w:r w:rsidR="00B07830" w:rsidRPr="00B32525">
              <w:rPr>
                <w:color w:val="auto"/>
                <w:sz w:val="36"/>
                <w:lang w:val="de-DE"/>
              </w:rPr>
              <w:br/>
            </w:r>
          </w:p>
        </w:tc>
        <w:tc>
          <w:tcPr>
            <w:tcW w:w="3430" w:type="dxa"/>
            <w:gridSpan w:val="3"/>
          </w:tcPr>
          <w:p w:rsidR="00B07830" w:rsidRPr="00B32525" w:rsidRDefault="00B07830">
            <w:pPr>
              <w:cnfStyle w:val="000000000000"/>
              <w:rPr>
                <w:sz w:val="36"/>
                <w:lang w:val="de-DE"/>
              </w:rPr>
            </w:pPr>
          </w:p>
          <w:p w:rsidR="00790196" w:rsidRPr="00B32525" w:rsidRDefault="004D4789">
            <w:pPr>
              <w:cnfStyle w:val="000000000000"/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 xml:space="preserve"> </w:t>
            </w:r>
            <w:r w:rsidR="00790196" w:rsidRPr="00B32525">
              <w:rPr>
                <w:sz w:val="36"/>
                <w:lang w:val="de-DE"/>
              </w:rPr>
              <w:t>definiert/konvergent</w:t>
            </w:r>
          </w:p>
        </w:tc>
        <w:tc>
          <w:tcPr>
            <w:tcW w:w="4195" w:type="dxa"/>
            <w:gridSpan w:val="2"/>
          </w:tcPr>
          <w:p w:rsidR="00B07830" w:rsidRPr="00B32525" w:rsidRDefault="00B07830" w:rsidP="00790196">
            <w:pPr>
              <w:jc w:val="center"/>
              <w:cnfStyle w:val="000000000000"/>
              <w:rPr>
                <w:sz w:val="36"/>
                <w:lang w:val="de-DE"/>
              </w:rPr>
            </w:pPr>
          </w:p>
          <w:p w:rsidR="00790196" w:rsidRPr="00B32525" w:rsidRDefault="00790196" w:rsidP="00790196">
            <w:pPr>
              <w:jc w:val="center"/>
              <w:cnfStyle w:val="0000000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definiert/divergent</w:t>
            </w:r>
          </w:p>
        </w:tc>
        <w:tc>
          <w:tcPr>
            <w:tcW w:w="3112" w:type="dxa"/>
            <w:gridSpan w:val="2"/>
          </w:tcPr>
          <w:p w:rsidR="00B07830" w:rsidRPr="00B32525" w:rsidRDefault="00B07830" w:rsidP="00790196">
            <w:pPr>
              <w:jc w:val="right"/>
              <w:cnfStyle w:val="000000000000"/>
              <w:rPr>
                <w:sz w:val="36"/>
                <w:lang w:val="de-DE"/>
              </w:rPr>
            </w:pPr>
          </w:p>
          <w:p w:rsidR="00790196" w:rsidRPr="00B32525" w:rsidRDefault="00790196" w:rsidP="00790196">
            <w:pPr>
              <w:jc w:val="right"/>
              <w:cnfStyle w:val="0000000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ungenau/divergent</w:t>
            </w:r>
            <w:r w:rsidR="001E12B6">
              <w:rPr>
                <w:sz w:val="36"/>
                <w:lang w:val="de-DE"/>
              </w:rPr>
              <w:t> </w:t>
            </w:r>
          </w:p>
        </w:tc>
      </w:tr>
      <w:tr w:rsidR="0059696D" w:rsidRPr="00B32525" w:rsidTr="007931CD">
        <w:trPr>
          <w:cnfStyle w:val="000000100000"/>
        </w:trPr>
        <w:tc>
          <w:tcPr>
            <w:cnfStyle w:val="001000000000"/>
            <w:tcW w:w="3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07830" w:rsidRPr="00B32525" w:rsidRDefault="00B07830">
            <w:pPr>
              <w:rPr>
                <w:color w:val="auto"/>
                <w:sz w:val="36"/>
                <w:lang w:val="de-DE"/>
              </w:rPr>
            </w:pPr>
          </w:p>
          <w:p w:rsidR="000604B7" w:rsidRPr="00B32525" w:rsidRDefault="000604B7" w:rsidP="00B07830">
            <w:pPr>
              <w:rPr>
                <w:color w:val="auto"/>
                <w:sz w:val="36"/>
                <w:lang w:val="de-DE"/>
              </w:rPr>
            </w:pPr>
            <w:r w:rsidRPr="00B32525">
              <w:rPr>
                <w:color w:val="auto"/>
                <w:sz w:val="36"/>
                <w:lang w:val="de-DE"/>
              </w:rPr>
              <w:t>Lebensweltbezug</w:t>
            </w:r>
            <w:r w:rsidR="00B07830" w:rsidRPr="00B32525">
              <w:rPr>
                <w:color w:val="auto"/>
                <w:sz w:val="36"/>
                <w:lang w:val="de-DE"/>
              </w:rPr>
              <w:br/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>
            <w:pPr>
              <w:cnfStyle w:val="000000100000"/>
              <w:rPr>
                <w:sz w:val="36"/>
                <w:lang w:val="de-DE"/>
              </w:rPr>
            </w:pPr>
          </w:p>
          <w:p w:rsidR="000604B7" w:rsidRPr="00B32525" w:rsidRDefault="004D4789" w:rsidP="00B32525">
            <w:pPr>
              <w:tabs>
                <w:tab w:val="center" w:pos="1532"/>
              </w:tabs>
              <w:cnfStyle w:val="000000100000"/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 xml:space="preserve"> </w:t>
            </w:r>
            <w:r w:rsidR="00B07830" w:rsidRPr="00B32525">
              <w:rPr>
                <w:sz w:val="36"/>
                <w:lang w:val="de-DE"/>
              </w:rPr>
              <w:t>k</w:t>
            </w:r>
            <w:r w:rsidR="000604B7" w:rsidRPr="00B32525">
              <w:rPr>
                <w:sz w:val="36"/>
                <w:lang w:val="de-DE"/>
              </w:rPr>
              <w:t>ein</w:t>
            </w:r>
            <w:r w:rsidR="00B32525" w:rsidRPr="00B32525">
              <w:rPr>
                <w:sz w:val="36"/>
                <w:lang w:val="de-DE"/>
              </w:rPr>
              <w:tab/>
            </w:r>
          </w:p>
        </w:tc>
        <w:tc>
          <w:tcPr>
            <w:tcW w:w="246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>
            <w:pPr>
              <w:cnfStyle w:val="000000100000"/>
              <w:rPr>
                <w:sz w:val="36"/>
                <w:lang w:val="de-DE"/>
              </w:rPr>
            </w:pPr>
          </w:p>
          <w:p w:rsidR="000604B7" w:rsidRPr="00B32525" w:rsidRDefault="00790196">
            <w:pPr>
              <w:cnfStyle w:val="0000001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konstruiert</w:t>
            </w:r>
          </w:p>
        </w:tc>
        <w:tc>
          <w:tcPr>
            <w:tcW w:w="249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>
            <w:pPr>
              <w:cnfStyle w:val="000000100000"/>
              <w:rPr>
                <w:sz w:val="36"/>
                <w:lang w:val="de-DE"/>
              </w:rPr>
            </w:pPr>
          </w:p>
          <w:p w:rsidR="000604B7" w:rsidRPr="00B32525" w:rsidRDefault="00790196" w:rsidP="007931CD">
            <w:pPr>
              <w:jc w:val="right"/>
              <w:cnfStyle w:val="0000001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authentisch</w:t>
            </w:r>
          </w:p>
        </w:tc>
        <w:tc>
          <w:tcPr>
            <w:tcW w:w="2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 w:rsidP="00790196">
            <w:pPr>
              <w:jc w:val="right"/>
              <w:cnfStyle w:val="000000100000"/>
              <w:rPr>
                <w:sz w:val="36"/>
                <w:lang w:val="de-DE"/>
              </w:rPr>
            </w:pPr>
          </w:p>
          <w:p w:rsidR="000604B7" w:rsidRPr="00B32525" w:rsidRDefault="00790196" w:rsidP="00790196">
            <w:pPr>
              <w:jc w:val="right"/>
              <w:cnfStyle w:val="0000001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real</w:t>
            </w:r>
            <w:r w:rsidR="001E12B6">
              <w:rPr>
                <w:sz w:val="36"/>
                <w:lang w:val="de-DE"/>
              </w:rPr>
              <w:t> </w:t>
            </w:r>
          </w:p>
        </w:tc>
      </w:tr>
      <w:tr w:rsidR="00790196" w:rsidRPr="00B32525" w:rsidTr="004D4789">
        <w:tc>
          <w:tcPr>
            <w:cnfStyle w:val="001000000000"/>
            <w:tcW w:w="3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90196" w:rsidRPr="00B32525" w:rsidRDefault="00790196">
            <w:pPr>
              <w:rPr>
                <w:color w:val="auto"/>
                <w:sz w:val="36"/>
                <w:lang w:val="de-DE"/>
              </w:rPr>
            </w:pPr>
            <w:r w:rsidRPr="00B32525">
              <w:rPr>
                <w:color w:val="auto"/>
                <w:sz w:val="36"/>
                <w:lang w:val="de-DE"/>
              </w:rPr>
              <w:t>Sprachliche Komplexität</w:t>
            </w:r>
          </w:p>
          <w:p w:rsidR="00B07830" w:rsidRPr="00B32525" w:rsidRDefault="00B07830">
            <w:pPr>
              <w:rPr>
                <w:color w:val="auto"/>
                <w:sz w:val="36"/>
                <w:lang w:val="de-DE"/>
              </w:rPr>
            </w:pPr>
          </w:p>
        </w:tc>
        <w:tc>
          <w:tcPr>
            <w:tcW w:w="3430" w:type="dxa"/>
            <w:gridSpan w:val="3"/>
          </w:tcPr>
          <w:p w:rsidR="00B07830" w:rsidRPr="00B32525" w:rsidRDefault="00B07830" w:rsidP="0059696D">
            <w:pPr>
              <w:cnfStyle w:val="000000000000"/>
              <w:rPr>
                <w:sz w:val="36"/>
                <w:lang w:val="de-DE"/>
              </w:rPr>
            </w:pPr>
          </w:p>
          <w:p w:rsidR="00790196" w:rsidRPr="00B32525" w:rsidRDefault="004D4789" w:rsidP="0059696D">
            <w:pPr>
              <w:cnfStyle w:val="000000000000"/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 xml:space="preserve"> </w:t>
            </w:r>
            <w:r w:rsidR="00790196" w:rsidRPr="00B32525">
              <w:rPr>
                <w:sz w:val="36"/>
                <w:lang w:val="de-DE"/>
              </w:rPr>
              <w:t>niedrig</w:t>
            </w:r>
          </w:p>
        </w:tc>
        <w:tc>
          <w:tcPr>
            <w:tcW w:w="4195" w:type="dxa"/>
            <w:gridSpan w:val="2"/>
          </w:tcPr>
          <w:p w:rsidR="00B07830" w:rsidRPr="00B32525" w:rsidRDefault="00B07830">
            <w:pPr>
              <w:cnfStyle w:val="000000000000"/>
              <w:rPr>
                <w:sz w:val="36"/>
                <w:lang w:val="de-DE"/>
              </w:rPr>
            </w:pPr>
          </w:p>
          <w:p w:rsidR="00790196" w:rsidRPr="00B32525" w:rsidRDefault="00790196" w:rsidP="00B07830">
            <w:pPr>
              <w:jc w:val="center"/>
              <w:cnfStyle w:val="0000000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mittel</w:t>
            </w:r>
          </w:p>
        </w:tc>
        <w:tc>
          <w:tcPr>
            <w:tcW w:w="3112" w:type="dxa"/>
            <w:gridSpan w:val="2"/>
          </w:tcPr>
          <w:p w:rsidR="00B07830" w:rsidRPr="00B32525" w:rsidRDefault="00B07830" w:rsidP="00790196">
            <w:pPr>
              <w:jc w:val="right"/>
              <w:cnfStyle w:val="000000000000"/>
              <w:rPr>
                <w:sz w:val="36"/>
                <w:lang w:val="de-DE"/>
              </w:rPr>
            </w:pPr>
          </w:p>
          <w:p w:rsidR="00790196" w:rsidRPr="00B32525" w:rsidRDefault="00790196" w:rsidP="00790196">
            <w:pPr>
              <w:jc w:val="right"/>
              <w:cnfStyle w:val="0000000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hoch</w:t>
            </w:r>
            <w:r w:rsidR="001E12B6">
              <w:rPr>
                <w:sz w:val="36"/>
                <w:lang w:val="de-DE"/>
              </w:rPr>
              <w:t> </w:t>
            </w:r>
          </w:p>
        </w:tc>
      </w:tr>
      <w:tr w:rsidR="00790196" w:rsidRPr="00B32525" w:rsidTr="004D4789">
        <w:trPr>
          <w:cnfStyle w:val="000000100000"/>
        </w:trPr>
        <w:tc>
          <w:tcPr>
            <w:cnfStyle w:val="001000000000"/>
            <w:tcW w:w="3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07830" w:rsidRPr="00B32525" w:rsidRDefault="00B07830">
            <w:pPr>
              <w:rPr>
                <w:color w:val="auto"/>
                <w:sz w:val="36"/>
                <w:lang w:val="de-DE"/>
              </w:rPr>
            </w:pPr>
          </w:p>
          <w:p w:rsidR="00790196" w:rsidRPr="00B32525" w:rsidRDefault="00790196">
            <w:pPr>
              <w:rPr>
                <w:color w:val="auto"/>
                <w:sz w:val="36"/>
                <w:lang w:val="de-DE"/>
              </w:rPr>
            </w:pPr>
            <w:r w:rsidRPr="00B32525">
              <w:rPr>
                <w:color w:val="auto"/>
                <w:sz w:val="36"/>
                <w:lang w:val="de-DE"/>
              </w:rPr>
              <w:t>Repräsen</w:t>
            </w:r>
            <w:r w:rsidR="00B32525" w:rsidRPr="00B32525">
              <w:rPr>
                <w:color w:val="auto"/>
                <w:sz w:val="36"/>
                <w:lang w:val="de-DE"/>
              </w:rPr>
              <w:t>t</w:t>
            </w:r>
            <w:r w:rsidRPr="00B32525">
              <w:rPr>
                <w:color w:val="auto"/>
                <w:sz w:val="36"/>
                <w:lang w:val="de-DE"/>
              </w:rPr>
              <w:t>ationsformen</w:t>
            </w:r>
          </w:p>
          <w:p w:rsidR="00790196" w:rsidRPr="00B32525" w:rsidRDefault="00790196">
            <w:pPr>
              <w:rPr>
                <w:color w:val="auto"/>
                <w:sz w:val="36"/>
                <w:lang w:val="de-DE"/>
              </w:rPr>
            </w:pPr>
          </w:p>
        </w:tc>
        <w:tc>
          <w:tcPr>
            <w:tcW w:w="343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>
            <w:pPr>
              <w:cnfStyle w:val="000000100000"/>
              <w:rPr>
                <w:sz w:val="36"/>
                <w:lang w:val="de-DE"/>
              </w:rPr>
            </w:pPr>
          </w:p>
          <w:p w:rsidR="00790196" w:rsidRPr="00B32525" w:rsidRDefault="004D4789">
            <w:pPr>
              <w:cnfStyle w:val="000000100000"/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 xml:space="preserve"> </w:t>
            </w:r>
            <w:r w:rsidR="00790196" w:rsidRPr="00B32525">
              <w:rPr>
                <w:sz w:val="36"/>
                <w:lang w:val="de-DE"/>
              </w:rPr>
              <w:t>eine</w:t>
            </w:r>
          </w:p>
        </w:tc>
        <w:tc>
          <w:tcPr>
            <w:tcW w:w="419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 w:rsidP="00790196">
            <w:pPr>
              <w:jc w:val="right"/>
              <w:cnfStyle w:val="000000100000"/>
              <w:rPr>
                <w:sz w:val="36"/>
                <w:lang w:val="de-DE"/>
              </w:rPr>
            </w:pPr>
          </w:p>
          <w:p w:rsidR="00790196" w:rsidRPr="00B32525" w:rsidRDefault="00790196" w:rsidP="00B07830">
            <w:pPr>
              <w:jc w:val="center"/>
              <w:cnfStyle w:val="0000001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Integration</w:t>
            </w:r>
          </w:p>
        </w:tc>
        <w:tc>
          <w:tcPr>
            <w:tcW w:w="31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07830" w:rsidRPr="00B32525" w:rsidRDefault="00B07830" w:rsidP="00790196">
            <w:pPr>
              <w:jc w:val="right"/>
              <w:cnfStyle w:val="000000100000"/>
              <w:rPr>
                <w:sz w:val="36"/>
                <w:lang w:val="de-DE"/>
              </w:rPr>
            </w:pPr>
          </w:p>
          <w:p w:rsidR="00790196" w:rsidRPr="00B32525" w:rsidRDefault="00790196" w:rsidP="001E12B6">
            <w:pPr>
              <w:jc w:val="right"/>
              <w:cnfStyle w:val="000000100000"/>
              <w:rPr>
                <w:sz w:val="36"/>
                <w:lang w:val="de-DE"/>
              </w:rPr>
            </w:pPr>
            <w:r w:rsidRPr="00B32525">
              <w:rPr>
                <w:sz w:val="36"/>
                <w:lang w:val="de-DE"/>
              </w:rPr>
              <w:t>Transformation</w:t>
            </w:r>
            <w:r w:rsidR="001E12B6">
              <w:rPr>
                <w:sz w:val="36"/>
                <w:lang w:val="de-DE"/>
              </w:rPr>
              <w:t xml:space="preserve">  </w:t>
            </w:r>
          </w:p>
        </w:tc>
      </w:tr>
    </w:tbl>
    <w:p w:rsidR="007931CD" w:rsidRDefault="007931CD">
      <w:pPr>
        <w:sectPr w:rsidR="007931CD" w:rsidSect="00B07830">
          <w:pgSz w:w="16838" w:h="11906" w:orient="landscape"/>
          <w:pgMar w:top="709" w:right="1417" w:bottom="567" w:left="1134" w:header="708" w:footer="708" w:gutter="0"/>
          <w:cols w:space="708"/>
          <w:docGrid w:linePitch="360"/>
        </w:sectPr>
      </w:pPr>
    </w:p>
    <w:p w:rsidR="00073469" w:rsidRDefault="00073469">
      <w:pPr>
        <w:rPr>
          <w:rFonts w:cs="Times New Roman"/>
          <w:sz w:val="18"/>
          <w:szCs w:val="24"/>
          <w:lang w:val="de-DE"/>
        </w:rPr>
      </w:pPr>
      <w:r>
        <w:rPr>
          <w:noProof/>
          <w:lang w:val="de-DE" w:eastAsia="de-DE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9118600" cy="5391150"/>
            <wp:effectExtent l="19050" t="0" r="635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469" w:rsidRPr="00073469" w:rsidRDefault="00073469">
      <w:pPr>
        <w:rPr>
          <w:rFonts w:cs="Times New Roman"/>
          <w:sz w:val="18"/>
          <w:szCs w:val="24"/>
          <w:lang w:val="de-DE"/>
        </w:rPr>
      </w:pPr>
      <w:r w:rsidRPr="00073469">
        <w:rPr>
          <w:rFonts w:cs="Times New Roman"/>
          <w:sz w:val="18"/>
          <w:szCs w:val="24"/>
          <w:lang w:val="de-DE"/>
        </w:rPr>
        <w:t xml:space="preserve">Quelle: </w:t>
      </w:r>
    </w:p>
    <w:p w:rsidR="000604B7" w:rsidRPr="00073469" w:rsidRDefault="00073469">
      <w:pPr>
        <w:rPr>
          <w:sz w:val="16"/>
          <w:lang w:val="de-DE"/>
        </w:rPr>
      </w:pPr>
      <w:r w:rsidRPr="00073469">
        <w:rPr>
          <w:rFonts w:cs="Times New Roman"/>
          <w:sz w:val="18"/>
          <w:szCs w:val="24"/>
          <w:lang w:val="de-DE"/>
        </w:rPr>
        <w:t xml:space="preserve">E. </w:t>
      </w:r>
      <w:proofErr w:type="spellStart"/>
      <w:r w:rsidRPr="00073469">
        <w:rPr>
          <w:rFonts w:cs="Times New Roman"/>
          <w:sz w:val="18"/>
          <w:szCs w:val="24"/>
          <w:lang w:val="de-DE"/>
        </w:rPr>
        <w:t>Sumfleth</w:t>
      </w:r>
      <w:proofErr w:type="spellEnd"/>
      <w:r w:rsidRPr="00073469">
        <w:rPr>
          <w:rFonts w:cs="Times New Roman"/>
          <w:sz w:val="18"/>
          <w:szCs w:val="24"/>
          <w:lang w:val="de-DE"/>
        </w:rPr>
        <w:t xml:space="preserve"> et al.: Das Kompetenzstrukturmodell in den naturwissenschaftlichen Fächern. </w:t>
      </w:r>
      <w:r w:rsidRPr="00073469">
        <w:rPr>
          <w:rFonts w:cs="Times New Roman"/>
          <w:sz w:val="18"/>
          <w:szCs w:val="24"/>
          <w:lang w:val="de-DE"/>
        </w:rPr>
        <w:br/>
        <w:t xml:space="preserve">In: Hans Anand </w:t>
      </w:r>
      <w:proofErr w:type="spellStart"/>
      <w:r w:rsidRPr="00073469">
        <w:rPr>
          <w:rFonts w:cs="Times New Roman"/>
          <w:sz w:val="18"/>
          <w:szCs w:val="24"/>
          <w:lang w:val="de-DE"/>
        </w:rPr>
        <w:t>Pant</w:t>
      </w:r>
      <w:proofErr w:type="spellEnd"/>
      <w:r w:rsidRPr="00073469">
        <w:rPr>
          <w:rFonts w:cs="Times New Roman"/>
          <w:sz w:val="18"/>
          <w:szCs w:val="24"/>
          <w:lang w:val="de-DE"/>
        </w:rPr>
        <w:t xml:space="preserve">, Petra </w:t>
      </w:r>
      <w:proofErr w:type="spellStart"/>
      <w:r w:rsidRPr="00073469">
        <w:rPr>
          <w:rFonts w:cs="Times New Roman"/>
          <w:sz w:val="18"/>
          <w:szCs w:val="24"/>
          <w:lang w:val="de-DE"/>
        </w:rPr>
        <w:t>Stanat</w:t>
      </w:r>
      <w:proofErr w:type="spellEnd"/>
      <w:r w:rsidRPr="00073469">
        <w:rPr>
          <w:rFonts w:cs="Times New Roman"/>
          <w:sz w:val="18"/>
          <w:szCs w:val="24"/>
          <w:lang w:val="de-DE"/>
        </w:rPr>
        <w:t xml:space="preserve">, Ulrich </w:t>
      </w:r>
      <w:proofErr w:type="spellStart"/>
      <w:r w:rsidRPr="00073469">
        <w:rPr>
          <w:rFonts w:cs="Times New Roman"/>
          <w:sz w:val="18"/>
          <w:szCs w:val="24"/>
          <w:lang w:val="de-DE"/>
        </w:rPr>
        <w:t>Schroeders</w:t>
      </w:r>
      <w:proofErr w:type="spellEnd"/>
      <w:r w:rsidRPr="00073469">
        <w:rPr>
          <w:rFonts w:cs="Times New Roman"/>
          <w:sz w:val="18"/>
          <w:szCs w:val="24"/>
          <w:lang w:val="de-DE"/>
        </w:rPr>
        <w:t xml:space="preserve">, Alexander </w:t>
      </w:r>
      <w:proofErr w:type="spellStart"/>
      <w:r w:rsidRPr="00073469">
        <w:rPr>
          <w:rFonts w:cs="Times New Roman"/>
          <w:sz w:val="18"/>
          <w:szCs w:val="24"/>
          <w:lang w:val="de-DE"/>
        </w:rPr>
        <w:t>Roppelt</w:t>
      </w:r>
      <w:proofErr w:type="spellEnd"/>
      <w:r w:rsidRPr="00073469">
        <w:rPr>
          <w:rFonts w:cs="Times New Roman"/>
          <w:sz w:val="18"/>
          <w:szCs w:val="24"/>
          <w:lang w:val="de-DE"/>
        </w:rPr>
        <w:t xml:space="preserve">, Thilo Siegle, Claudia Pöhlmann (Hrsg.) (2013): IQB-Ländervergleich 2012. Mathematische und naturwissenschaftliche Kompetenzen am Ende der Sekundarstufe I. Münster: </w:t>
      </w:r>
      <w:proofErr w:type="spellStart"/>
      <w:r w:rsidRPr="00073469">
        <w:rPr>
          <w:rFonts w:cs="Times New Roman"/>
          <w:sz w:val="18"/>
          <w:szCs w:val="24"/>
          <w:lang w:val="de-DE"/>
        </w:rPr>
        <w:t>Waxmann</w:t>
      </w:r>
      <w:proofErr w:type="spellEnd"/>
      <w:r w:rsidRPr="00073469">
        <w:rPr>
          <w:rFonts w:cs="Times New Roman"/>
          <w:sz w:val="18"/>
          <w:szCs w:val="24"/>
          <w:lang w:val="de-DE"/>
        </w:rPr>
        <w:t>, S. 38 -42</w:t>
      </w:r>
      <w:r w:rsidRPr="00073469">
        <w:rPr>
          <w:rFonts w:cs="Times New Roman"/>
          <w:sz w:val="18"/>
          <w:szCs w:val="24"/>
          <w:lang w:val="de-DE"/>
        </w:rPr>
        <w:br/>
        <w:t>Download unter: http://www.iqb.hu-berlin.de/laendervergleich/lv2012/Bericht.pdf</w:t>
      </w:r>
    </w:p>
    <w:sectPr w:rsidR="000604B7" w:rsidRPr="00073469" w:rsidSect="00073469">
      <w:pgSz w:w="16838" w:h="11906" w:orient="landscape"/>
      <w:pgMar w:top="709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EF" w:rsidRDefault="009277EF" w:rsidP="004D4789">
      <w:pPr>
        <w:spacing w:after="0" w:line="240" w:lineRule="auto"/>
      </w:pPr>
      <w:r>
        <w:separator/>
      </w:r>
    </w:p>
  </w:endnote>
  <w:endnote w:type="continuationSeparator" w:id="0">
    <w:p w:rsidR="009277EF" w:rsidRDefault="009277EF" w:rsidP="004D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EF" w:rsidRDefault="009277EF" w:rsidP="004D4789">
      <w:pPr>
        <w:spacing w:after="0" w:line="240" w:lineRule="auto"/>
      </w:pPr>
      <w:r>
        <w:separator/>
      </w:r>
    </w:p>
  </w:footnote>
  <w:footnote w:type="continuationSeparator" w:id="0">
    <w:p w:rsidR="009277EF" w:rsidRDefault="009277EF" w:rsidP="004D4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4B7"/>
    <w:rsid w:val="00037180"/>
    <w:rsid w:val="000604B7"/>
    <w:rsid w:val="00073469"/>
    <w:rsid w:val="001247B8"/>
    <w:rsid w:val="00164218"/>
    <w:rsid w:val="001E12B6"/>
    <w:rsid w:val="0026510D"/>
    <w:rsid w:val="002A22A3"/>
    <w:rsid w:val="002A3EFB"/>
    <w:rsid w:val="003347C2"/>
    <w:rsid w:val="004D4789"/>
    <w:rsid w:val="005758BA"/>
    <w:rsid w:val="0059696D"/>
    <w:rsid w:val="005F125D"/>
    <w:rsid w:val="00616C47"/>
    <w:rsid w:val="006A6542"/>
    <w:rsid w:val="00713F97"/>
    <w:rsid w:val="0073686A"/>
    <w:rsid w:val="0074309F"/>
    <w:rsid w:val="00760511"/>
    <w:rsid w:val="00790196"/>
    <w:rsid w:val="007931CD"/>
    <w:rsid w:val="00820490"/>
    <w:rsid w:val="00834064"/>
    <w:rsid w:val="009277EF"/>
    <w:rsid w:val="009747BE"/>
    <w:rsid w:val="00974986"/>
    <w:rsid w:val="00A07E14"/>
    <w:rsid w:val="00B07830"/>
    <w:rsid w:val="00B32525"/>
    <w:rsid w:val="00B374E6"/>
    <w:rsid w:val="00BD4D10"/>
    <w:rsid w:val="00DE0CF7"/>
    <w:rsid w:val="00DE385E"/>
    <w:rsid w:val="00E40FCF"/>
    <w:rsid w:val="00F25736"/>
    <w:rsid w:val="00F6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736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573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2573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table" w:styleId="Tabellengitternetz">
    <w:name w:val="Table Grid"/>
    <w:basedOn w:val="NormaleTabelle"/>
    <w:uiPriority w:val="59"/>
    <w:rsid w:val="0006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Raster31">
    <w:name w:val="Mittleres Raster 31"/>
    <w:basedOn w:val="NormaleTabelle"/>
    <w:uiPriority w:val="69"/>
    <w:rsid w:val="00060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52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4D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D4789"/>
  </w:style>
  <w:style w:type="paragraph" w:styleId="Fuzeile">
    <w:name w:val="footer"/>
    <w:basedOn w:val="Standard"/>
    <w:link w:val="FuzeileZchn"/>
    <w:uiPriority w:val="99"/>
    <w:semiHidden/>
    <w:unhideWhenUsed/>
    <w:rsid w:val="004D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D4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neu</cp:lastModifiedBy>
  <cp:revision>6</cp:revision>
  <cp:lastPrinted>2014-03-16T17:01:00Z</cp:lastPrinted>
  <dcterms:created xsi:type="dcterms:W3CDTF">2012-04-21T21:34:00Z</dcterms:created>
  <dcterms:modified xsi:type="dcterms:W3CDTF">2014-03-16T18:21:00Z</dcterms:modified>
</cp:coreProperties>
</file>